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Levin Michaela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ACRIVON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480 ARSENAL WAY,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WATERTOWN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02472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Acrivon Therapeutics, Inc.</w:t>
              </w:r>
            </w:hyperlink>
            <w:r>
              <w:rPr/>
              <w:t xml:space="preserve"> [ </w:t>
            </w:r>
            <w:r>
              <w:rPr>
                <w:rFonts w:ascii="Times;serif" w:hAnsi="Times;serif"/>
                <w:color w:val="0000FF"/>
                <w:sz w:val="24"/>
                <w:shd w:fill="FFFFFF" w:val="clear"/>
              </w:rPr>
              <w:t>ACRV</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Business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43"/>
        <w:gridCol w:w="905"/>
        <w:gridCol w:w="774"/>
        <w:gridCol w:w="601"/>
        <w:gridCol w:w="351"/>
        <w:gridCol w:w="938"/>
        <w:gridCol w:w="461"/>
        <w:gridCol w:w="624"/>
        <w:gridCol w:w="1175"/>
        <w:gridCol w:w="1007"/>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2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08/31/2026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30,000</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30,000</w:t>
            </w:r>
          </w:p>
        </w:tc>
        <w:tc>
          <w:tcPr>
            <w:tcW w:w="10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5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816"/>
        <w:gridCol w:w="276"/>
        <w:gridCol w:w="906"/>
        <w:gridCol w:w="801"/>
        <w:gridCol w:w="891"/>
        <w:gridCol w:w="92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2.09</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08/31/2026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130,000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08/30/2036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130,000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represent restricted stock units ("RSUs"). Each RSU represents a contingent right to receive one share of the Issuer's Common Stock. These RSUs shall vest in full on September 1, 2027, subject to the Reporting Person's continuous service through such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Twenty-five percent (25%) of the shares subject to the option vest on September 1, 2027, and the remaining shares subject to the option vest in 36 substantially equal monthly installments thereafter, in each case subject to the Reporting Person's continuous service through each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Adam D. Levy,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51012" TargetMode="External"/><Relationship Id="rId5" Type="http://schemas.openxmlformats.org/officeDocument/2006/relationships/hyperlink" Target="http://www.sec.gov/cgi-bin/browse-edgar?action=getcompany&amp;CIK=000178117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675</Words>
  <Characters>3678</Characters>
  <CharactersWithSpaces>4272</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