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
        </w:rPr>
      </w:pPr>
      <w:bookmarkStart w:id="0" w:name="acrv-20260630.htm"/>
      <w:bookmarkStart w:id="1" w:name="ksacrv20260630"/>
      <w:bookmarkEnd w:id="0"/>
      <w:bookmarkEnd w:id="1"/>
      <w:r>
        <w:rPr>
          <w:rFonts w:ascii="Times New Roman" w:hAnsi="Times New Roman"/>
          <w:color w:val="000000"/>
          <w:sz w:val="2"/>
        </w:rPr>
        <w:t>af</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__________________ to __________________</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001-41551</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Acrivon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707" w:type="dxa"/>
        <w:jc w:val="left"/>
        <w:tblInd w:w="0" w:type="dxa"/>
        <w:tblLayout w:type="fixed"/>
        <w:tblCellMar>
          <w:top w:w="28" w:type="dxa"/>
          <w:left w:w="28" w:type="dxa"/>
          <w:bottom w:w="28" w:type="dxa"/>
          <w:right w:w="28" w:type="dxa"/>
        </w:tblCellMar>
      </w:tblPr>
      <w:tblGrid>
        <w:gridCol w:w="2461"/>
        <w:gridCol w:w="1246"/>
      </w:tblGrid>
      <w:tr>
        <w:trPr/>
        <w:tc>
          <w:tcPr>
            <w:tcW w:w="24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82-5125532</w:t>
            </w:r>
          </w:p>
        </w:tc>
      </w:tr>
      <w:tr>
        <w:trPr/>
        <w:tc>
          <w:tcPr>
            <w:tcW w:w="246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6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480 Arsenal Way, Suite 100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Watertown, Massachusetts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02472</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(617) 207-8979</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ACRV</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Market</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August 7, 2026, the registrant had 42,853,362</w:t>
      </w:r>
      <w:r>
        <w:rPr>
          <w:rFonts w:ascii="Times New Roman" w:hAnsi="Times New Roman"/>
          <w:color w:val="000000"/>
          <w:sz w:val="20"/>
        </w:rPr>
        <w:t xml:space="preserve"> </w:t>
      </w:r>
      <w:r>
        <w:rPr>
          <w:rFonts w:ascii="Times New Roman" w:hAnsi="Times New Roman"/>
          <w:color w:val="000000"/>
          <w:sz w:val="18"/>
        </w:rPr>
        <w:t>shares of common stock, $0.001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93" w:type="dxa"/>
        <w:jc w:val="left"/>
        <w:tblInd w:w="0" w:type="dxa"/>
        <w:tblLayout w:type="fixed"/>
        <w:tblCellMar>
          <w:top w:w="28" w:type="dxa"/>
          <w:left w:w="28" w:type="dxa"/>
          <w:bottom w:w="28" w:type="dxa"/>
          <w:right w:w="28" w:type="dxa"/>
        </w:tblCellMar>
      </w:tblPr>
      <w:tblGrid>
        <w:gridCol w:w="886"/>
        <w:gridCol w:w="736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Times New Roman" w:hAnsi="Times New Roman"/>
                  <w:color w:val="0000FF"/>
                  <w:sz w:val="20"/>
                  <w:u w:val="single"/>
                </w:rPr>
                <w:t>Special Note Regarding Forward-Looking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parti_financial_information">
              <w:r>
                <w:rPr>
                  <w:rStyle w:val="InternetLink"/>
                  <w:rFonts w:ascii="Times New Roman" w:hAnsi="Times New Roman"/>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1_financial_statements">
              <w:r>
                <w:rPr>
                  <w:rStyle w:val="InternetLink"/>
                  <w:rFonts w:ascii="Times New Roman" w:hAnsi="Times New Roman"/>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tmt_of_comp_loss">
              <w:r>
                <w:rPr>
                  <w:rStyle w:val="InternetLink"/>
                  <w:rFonts w:ascii="Times New Roman" w:hAnsi="Times New Roman"/>
                  <w:color w:val="0000FF"/>
                  <w:sz w:val="20"/>
                  <w:u w:val="single"/>
                </w:rPr>
                <w:t>Condensed Consolidated Statements of Operations and Comprehensive Loss</w:t>
              </w:r>
            </w:hyperlink>
            <w:hyperlink w:anchor="stmt_of_comp_loss">
              <w:r>
                <w:rPr>
                  <w:rStyle w:val="InternetLink"/>
                  <w:rFonts w:ascii="Times New Roman" w:hAnsi="Times New Roman"/>
                  <w:color w:val="0000FF"/>
                  <w:sz w:val="20"/>
                </w:rPr>
                <w:t xml:space="preserve"> </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tmt_preferred_stock_stockholders">
              <w:r>
                <w:rPr>
                  <w:rStyle w:val="InternetLink"/>
                  <w:rFonts w:ascii="Times New Roman" w:hAnsi="Times New Roman"/>
                  <w:color w:val="0000FF"/>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densed_stmt">
              <w:r>
                <w:rPr>
                  <w:rStyle w:val="InternetLink"/>
                  <w:rFonts w:ascii="Times New Roman" w:hAnsi="Times New Roman"/>
                  <w:color w:val="0000FF"/>
                  <w:sz w:val="20"/>
                  <w:u w:val="single"/>
                </w:rPr>
                <w:t>Notes to the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unregistered_sales_of_equity">
              <w:r>
                <w:rPr>
                  <w:rStyle w:val="InternetLink"/>
                  <w:rFonts w:ascii="Times New Roman" w:hAnsi="Times New Roman"/>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3defaults_upon_senior_securities">
              <w:r>
                <w:rPr>
                  <w:rStyle w:val="InternetLink"/>
                  <w:rFonts w:ascii="Times New Roman" w:hAnsi="Times New Roman"/>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4_mine_safety_disclosures">
              <w:r>
                <w:rPr>
                  <w:rStyle w:val="InternetLink"/>
                  <w:rFonts w:ascii="Times New Roman" w:hAnsi="Times New Roman"/>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5_other_information">
              <w:r>
                <w:rPr>
                  <w:rStyle w:val="InternetLink"/>
                  <w:rFonts w:ascii="Times New Roman" w:hAnsi="Times New Roman"/>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6_exhibits">
              <w:r>
                <w:rPr>
                  <w:rStyle w:val="InternetLink"/>
                  <w:rFonts w:ascii="Times New Roman" w:hAnsi="Times New Roman"/>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5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2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special_note_regarding_forward_looking"/>
      <w:bookmarkEnd w:id="2"/>
      <w:r>
        <w:rPr>
          <w:rFonts w:ascii="Times New Roman" w:hAnsi="Times New Roman"/>
          <w:b/>
          <w:color w:val="000000"/>
          <w:sz w:val="20"/>
        </w:rPr>
        <w:t>Special Note Regarding Forward-Looking Statements</w:t>
      </w:r>
    </w:p>
    <w:p>
      <w:pPr>
        <w:pStyle w:val="TextBody"/>
        <w:bidi w:val="0"/>
        <w:spacing w:before="240" w:after="283"/>
        <w:jc w:val="both"/>
        <w:rPr>
          <w:rFonts w:ascii="Times New Roman" w:hAnsi="Times New Roman"/>
          <w:sz w:val="20"/>
        </w:rPr>
      </w:pPr>
      <w:r>
        <w:rPr>
          <w:rFonts w:ascii="Times New Roman" w:hAnsi="Times New Roman"/>
          <w:color w:val="000000"/>
          <w:sz w:val="20"/>
        </w:rPr>
        <w:t>This Quarterly Report on Form 10-Q</w:t>
      </w:r>
      <w:r>
        <w:rPr>
          <w:rFonts w:ascii="Times New Roman" w:hAnsi="Times New Roman"/>
          <w:color w:val="000000"/>
          <w:sz w:val="20"/>
          <w:u w:val="single"/>
        </w:rPr>
        <w:t>,</w:t>
      </w:r>
      <w:r>
        <w:rPr>
          <w:rFonts w:ascii="Times New Roman" w:hAnsi="Times New Roman"/>
          <w:color w:val="000000"/>
          <w:sz w:val="20"/>
        </w:rPr>
        <w:t xml:space="preserve"> or the Quarterly Report, contains forward-looking statements within the meaning of the Private Securities Litigation Reform Act of 1995 about us and our industry that involve substantial risks and uncertainties.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about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and results of our preclinical studies and clinical trials of our drug candidates,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and results of our preclinical studies and clinical studies for ACR-368, ACR-2316, and our other future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and results of the ongoing ACR-368 and ACR-2316 trials, and any other current or future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patients with the cancers treated by our drug candidates, and to enroll patients in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size of the patient populations, market acceptance and opportunity for and clinical utility of our drug candidates, if approved for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capabilities and strategy, including the scalability and commercial viability of our manufacturing methods and processes;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scope of any approved indication for ACR-368, ACR-2316, or any other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leverage our proprietary precision medicine platform, Acrivon Predictive Precision Proteomics, or AP3, to identify and develop future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of our expenses, ongoing losses, future revenue, capital requirements and our need for or ability to obtain additional funding before we can expect to generate any revenue from drug sales;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or maintain collaborations or strategic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identify, recruit and retain key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upon intellectual property licensed from third parties and our ability to obtain such licenses on commercially reasonable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protect and enforce our intellectual property position for our drug candidates, and the scope of such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competitive position and the development of and projections relating to our competitors or our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regarding future revenue, expenses and needs for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laws and regulations;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time during which we will be an emerging growth company under the JOBS 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and results of operations. The outcome of the events described in these forward-looking statements is subject to risks and uncertainties, including the factors described in “Part I, Item 1A. Risk Factors” of our Annual Report on Form 10-K filed with the Securities and Exchange Commission, or the SEC, on March 19, 2026, “Part II, Item 1A. Risk Factors” of this Quarterly Report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Quarterly Report.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contained in this Quarterly Report relate only to events as of the date on which the statements are made. We undertake no obligation to update any forward-looking statements made in this Quarterly Report or to reflect new information or the occurrence of unanticipated events, except as required by law. We may not actually achieve the plans, intentions or expectations disclosed in or expressed by,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the context otherwise requires, all references in this Quarterly Report to “we,” “us,” “our,” “our company,” and “Acrivon” refer to Acrivon Therapeutics, Inc. and its subsidiaries.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i_financial_information"/>
      <w:bookmarkEnd w:id="3"/>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4" w:name="item1_financial_statements"/>
      <w:bookmarkEnd w:id="4"/>
      <w:r>
        <w:rPr>
          <w:rFonts w:ascii="Times New Roman" w:hAnsi="Times New Roman"/>
          <w:b/>
          <w:color w:val="000000"/>
          <w:sz w:val="20"/>
        </w:rPr>
        <w:t>Item 1. Financial Statements.</w:t>
      </w:r>
    </w:p>
    <w:p>
      <w:pPr>
        <w:pStyle w:val="TextBody"/>
        <w:bidi w:val="0"/>
        <w:jc w:val="center"/>
        <w:rPr>
          <w:rFonts w:ascii="Times New Roman" w:hAnsi="Times New Roman"/>
          <w:sz w:val="20"/>
        </w:rPr>
      </w:pPr>
      <w:r>
        <w:rPr>
          <w:rFonts w:ascii="Times New Roman" w:hAnsi="Times New Roman"/>
          <w:b/>
          <w:color w:val="000000"/>
          <w:sz w:val="20"/>
        </w:rPr>
        <w:t>ACRIVON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jc w:val="left"/>
        <w:rPr/>
      </w:pPr>
      <w:r>
        <w:rPr/>
        <w:t> </w:t>
      </w:r>
    </w:p>
    <w:tbl>
      <w:tblPr>
        <w:tblW w:w="9762" w:type="dxa"/>
        <w:jc w:val="left"/>
        <w:tblInd w:w="0" w:type="dxa"/>
        <w:tblLayout w:type="fixed"/>
        <w:tblCellMar>
          <w:top w:w="28" w:type="dxa"/>
          <w:left w:w="28" w:type="dxa"/>
          <w:bottom w:w="28" w:type="dxa"/>
          <w:right w:w="28" w:type="dxa"/>
        </w:tblCellMar>
      </w:tblPr>
      <w:tblGrid>
        <w:gridCol w:w="6546"/>
        <w:gridCol w:w="146"/>
        <w:gridCol w:w="211"/>
        <w:gridCol w:w="841"/>
        <w:gridCol w:w="166"/>
        <w:gridCol w:w="146"/>
        <w:gridCol w:w="219"/>
        <w:gridCol w:w="876"/>
        <w:gridCol w:w="611"/>
      </w:tblGrid>
      <w:tr>
        <w:trPr/>
        <w:tc>
          <w:tcPr>
            <w:tcW w:w="6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Preferred stock, $0.001 par value; 10,000,000 shares authorized as of </w:t>
              <w:br/>
              <w:t>    June 30, 2026 and December 31, 2025; no shares issued and outstanding</w:t>
              <w:br/>
              <w:t>    as of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500,000,000 shares authorized as of</w:t>
              <w:br/>
              <w:t xml:space="preserve">    June 30, 2026 and December 31, 2025; 42,847,215 and 31,648,856 shares </w:t>
              <w:br/>
              <w:t xml:space="preserve">    issued and outstanding as of June 30, 2026 and December 31, 2025, </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ACRIVON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stmt_of_comp_loss"/>
      <w:bookmarkEnd w:id="6"/>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41,841,887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38,461,619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40,291,956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38,406,339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(41,027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ACRIVON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stmt_preferred_stock_stockholders"/>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9"/>
        <w:gridCol w:w="146"/>
        <w:gridCol w:w="146"/>
        <w:gridCol w:w="1036"/>
        <w:gridCol w:w="146"/>
        <w:gridCol w:w="146"/>
        <w:gridCol w:w="261"/>
        <w:gridCol w:w="430"/>
        <w:gridCol w:w="146"/>
        <w:gridCol w:w="146"/>
        <w:gridCol w:w="211"/>
        <w:gridCol w:w="781"/>
        <w:gridCol w:w="166"/>
        <w:gridCol w:w="146"/>
        <w:gridCol w:w="370"/>
        <w:gridCol w:w="846"/>
        <w:gridCol w:w="166"/>
        <w:gridCol w:w="146"/>
        <w:gridCol w:w="211"/>
        <w:gridCol w:w="841"/>
        <w:gridCol w:w="166"/>
        <w:gridCol w:w="146"/>
        <w:gridCol w:w="233"/>
        <w:gridCol w:w="863"/>
        <w:gridCol w:w="211"/>
      </w:tblGrid>
      <w:tr>
        <w:trPr/>
        <w:tc>
          <w:tcPr>
            <w:tcW w:w="2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31,648,856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upon exercise of pre-funded </w:t>
              <w:br/>
              <w: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7,056,101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w:t>
              <w:br/>
              <w:t>   stock units, net of shares withheld for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38,745,032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(293,923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under at-the-market </w:t>
              <w:br/>
              <w:t>   offering, net of issuance costs of $336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w:t>
              <w:br/>
              <w:t>   stock units, net of shares withheld for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42,847,215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86,665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ACRIVON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data)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9"/>
        <w:gridCol w:w="146"/>
        <w:gridCol w:w="146"/>
        <w:gridCol w:w="1036"/>
        <w:gridCol w:w="146"/>
        <w:gridCol w:w="146"/>
        <w:gridCol w:w="261"/>
        <w:gridCol w:w="430"/>
        <w:gridCol w:w="146"/>
        <w:gridCol w:w="146"/>
        <w:gridCol w:w="211"/>
        <w:gridCol w:w="781"/>
        <w:gridCol w:w="166"/>
        <w:gridCol w:w="146"/>
        <w:gridCol w:w="370"/>
        <w:gridCol w:w="846"/>
        <w:gridCol w:w="166"/>
        <w:gridCol w:w="146"/>
        <w:gridCol w:w="211"/>
        <w:gridCol w:w="841"/>
        <w:gridCol w:w="166"/>
        <w:gridCol w:w="146"/>
        <w:gridCol w:w="233"/>
        <w:gridCol w:w="863"/>
        <w:gridCol w:w="211"/>
      </w:tblGrid>
      <w:tr>
        <w:trPr/>
        <w:tc>
          <w:tcPr>
            <w:tcW w:w="20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b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31,231,264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vesting of restricted</w:t>
              <w:br/>
              <w:t>   stock units, net of shares withheld for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investments,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31,352,067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Issuance of common stock upon vesting of restricted </w:t>
              <w:br/>
              <w:t>   stock units, net of shares withheld for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investments,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31,449,744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ACRIVON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statements_of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tbl>
      <w:tblPr>
        <w:tblW w:w="9379" w:type="dxa"/>
        <w:jc w:val="left"/>
        <w:tblInd w:w="0" w:type="dxa"/>
        <w:tblLayout w:type="fixed"/>
        <w:tblCellMar>
          <w:top w:w="28" w:type="dxa"/>
          <w:left w:w="28" w:type="dxa"/>
          <w:bottom w:w="28" w:type="dxa"/>
          <w:right w:w="28" w:type="dxa"/>
        </w:tblCellMar>
      </w:tblPr>
      <w:tblGrid>
        <w:gridCol w:w="6616"/>
        <w:gridCol w:w="146"/>
        <w:gridCol w:w="211"/>
        <w:gridCol w:w="736"/>
        <w:gridCol w:w="166"/>
        <w:gridCol w:w="146"/>
        <w:gridCol w:w="211"/>
        <w:gridCol w:w="736"/>
        <w:gridCol w:w="411"/>
      </w:tblGrid>
      <w:tr>
        <w:trPr/>
        <w:tc>
          <w:tcPr>
            <w:tcW w:w="6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amortization of premiums and accretion of discounts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under at-the-market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tax withholdings related to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Purchases of property and equipment included in accounts payable and accrued </w:t>
              <w:br/>
              <w:t>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exercise of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ACRIVON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notes_to_condensed_stmt"/>
      <w:bookmarkEnd w:id="9"/>
      <w:r>
        <w:rPr>
          <w:rFonts w:ascii="Times New Roman" w:hAnsi="Times New Roman"/>
          <w:b/>
          <w:color w:val="000000"/>
          <w:sz w:val="20"/>
        </w:rPr>
        <w:t>NOTES TO THE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1. Nature of the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Acrivon Therapeutics, Inc. (together with its subsidiaries, the “Company”) is a clinical-stage biopharmaceutical company discovering and developing precision medicines utilizing its proprietary Generative Phosphoproteomics Acrivon Predictive Precision Proteomics (“AP3”) platform designed to interpret and quantify compound-specific, drug-regulated pathway activity levels inside the intact cell in an unbiased manner, yielding terabytes of proprietary data and delivering rapid, actionable insights. The Company is currently focused on oncology and advancing its pipeline of preclinical and clinical-stage small molecule inhibitors. ACR-368 (also known as prexasertib), which is a selective small molecule inhibitor targeting CHK1 and CHK2, is in a potentially registrational Phase 2 trial focusing on endometrial cancer (“EC”). ACR-2316 is a novel, potent and selective inhibitor of WEE1 and PKMYT1 that is currently being advanced in Phase 1/2 studies for selected solid tumor types predicted sensitive by AP3. In addition, the Company is advancing internally discovered development candidates targeting CDK11 towards planned Investigational New Drug (“IND”) filing.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received Fast Track designation from the U.S. Food and Drug Administration (“FDA”) for the investigation of ACR-368 as monotherapy based on OncoSignature-predicted sensitivity in patients with EC. The FDA has also granted Breakthrough Device designation for the ACR-368 OncoSignature assay for the identification of EC patients who may benefit from ACR-368 treatment. EC had not been previously studied in prior ACR-368 trials sponsored by Eli Lilly and Company (“Lilly”). Using AP3 for indication screening prior to clinical entry, this tumor type was predicted to be particularly sensitive to ACR-368, which has now been demonstrated in the ongoing Phase 2 study.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Clinical data from the ongoing, registrational-intent ACR-368 Phase 2b trial was presented in a late-breaking oral presentation at the European Society of Gynecological Oncology (“ESGO”) Annual Congress in February 2026. Arm 3 of the study was initiated in late 2025 to generate prospective data of ACR-368 with ultra-low dose gemcitabine (“ULDG”) sensitization in all comer (no pre-treatment biopsy or biomarker stratification) serous EC subjects with ≤2 prior LoT. Arm 4 enrollment and dosing is now also ongoing, investigating single agent ACR-368 without ULDG in all comer serous subjects as in Arm 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second clinical-stage asset, ACR-2316, is a novel, selective WEE1/PKMYT1 inhibitor designed using AP3 for superior single-agent activity through strong activation of not only CDK1 and CDK2 but also of PLK1 to drive pro-apoptotic cell death, as observed in preclinical studies against benchmark inhibitors. The Phase 1/2 trial has now advanced into the randomized dose expansion stage of the study.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was incorporated in March 2018 under the laws of the state of Delaware, and its principal offices are in Watertown, Massachusetts. Also in March 2018, the Company formed Acrivon AB, a wholly-owned subsidiary of the Company, established in Lund, Sweden. In December 2021, the Company formed Acrivon Securities Corporation, a wholly-owned subsidiary, established in Massachusetts. </w:t>
      </w:r>
    </w:p>
    <w:p>
      <w:pPr>
        <w:pStyle w:val="TextBody"/>
        <w:bidi w:val="0"/>
        <w:spacing w:before="360" w:after="283"/>
        <w:jc w:val="both"/>
        <w:rPr>
          <w:rFonts w:ascii="Times New Roman" w:hAnsi="Times New Roman"/>
          <w:sz w:val="20"/>
        </w:rPr>
      </w:pPr>
      <w:r>
        <w:rPr>
          <w:rFonts w:ascii="Times New Roman" w:hAnsi="Times New Roman"/>
          <w:b/>
          <w:i/>
          <w:color w:val="000000"/>
          <w:sz w:val="20"/>
        </w:rPr>
        <w:t>Liquidity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an emerging growth entity, the Company has devoted substantially all of its resources since inception to organizing and staffing the Company, business planning, raising capital, establishing its intellectual property portfolio, acquiring and discovering drug candidates, research and development activities for the Company’s in-licensed lead candidate ACR-368 and for the Company’s internally discovered clinical-stage asset, ACR-2316, and other compounds, establishing arrangements with third parties for the manufacture of its drug candidates and component materials, and providing general and administrative support for these operations. As a result, the Company has incurred significant operating losses and negative cash flows from operations since its inception and anticipates that such losses and negative cash flows will continue for the foreseeable future.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incurred recurring losses since its inception, including net losses of $37.0 million for the six months ended June 30, 2026. As of June 30, 2026, the Company had an accumulated deficit of $311.9 million. To date, the Company has not generated any revenues and expects to continue generating operating losses for the foreseeable future as it continues to expand its research and development efforts.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Since its inception, the Company has funded its operations primarily with proceeds from the sales of shares of its convertible preferred stock, the issuance of convertible notes, an initial public offering (“IPO”) and concurrent private placement, and the April 2024 Private Placement. Upon the closing of the Company’s IPO in November 2022, only common stock remains issued and outstanding. In April 2026, a sale was made pursuant to the sales agreement with Cowen and Company, LLC, to provide for the issuance and sale of common stock from time to time in “at-the-market” offerings (the “ATM Program”). The Company issued and sold to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investors 4,054,954 shares of the Company’s common stock at a purchase price of $1.80 per share. The ATM Program sale closed for aggregate gross proceeds of approximately $7.3 million. The ATM Program sale is further described in Note 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expects that its existing cash, cash equivalents and investments of $90.0 million as of June 30, 2026 will be sufficient to fund its operating expenses and capital expenditure requirements for at least 12 months from the date these condensed consolidated financial statements were issued.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will need additional funding to support its planned operating activities, including the initiation of certain additional planned development opportunities for its existing drug candidates. There can be no assurance, however, that the current operating plan will be achieved or that additional funding will be available on terms acceptable to the Company, or at all. If the Company is unable to obtain sufficient funding, it could be required to delay its development efforts, limit activities, and reduce research and development costs, which could adversely affect its business prospects.</w:t>
      </w:r>
    </w:p>
    <w:p>
      <w:pPr>
        <w:pStyle w:val="TextBody"/>
        <w:bidi w:val="0"/>
        <w:spacing w:before="360" w:after="283"/>
        <w:jc w:val="both"/>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significant accounting policies and estimates used in the preparation of the accompanying unaudited condensed consolidated financial statements are described in the Company’s audited consolidated financial statements for the year ended December 31, 2025 included in the Company’s Annual Report on Form 10-K filed with the SEC on March 19, 2026. There have been no material changes in the Company’s significant accounting policies during the six months ended June 30, 2026.</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Unaudited Interim Financial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conformity with accounting principles generally accepted in the United States of America (“U.S. GAAP”) and include the operations of Acrivon Therapeutics, Inc. and its wholly-owned subsidiaries. All intercompany accounts, transactions and balances have been eliminated in consolidation.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condensed consolidated interim financial statements are unaudited but have been prepared on the same basis as the audited annual financial statements and, in the opinion of management, reflect all adjustments, which include only normal recurring adjustments necessary for the fair statement of the Company’s financial position as of June 30, 2026 and the results of its operations for the three and six months ended June 30, 2026 and 2025 and its cash flows for the six months ended June 30, 2026 and 2025. The consolidated balance sheet as of December 31, 2025 was derived from audited annual financial statements but does not include all disclosures required by U.S. GAAP.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results for the three and six months ended June 30, 2026 are not necessarily indicative of results to be expected for the full year or for any other subsequent interim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Recently Issued Accounting Pronouncements Not Yet Adopted</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ASU 2023-06, Disclosure Improvements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October 2023, the FASB issued ASU 2023-06, </w:t>
      </w:r>
      <w:r>
        <w:rPr>
          <w:rFonts w:ascii="Times New Roman" w:hAnsi="Times New Roman"/>
          <w:i/>
          <w:color w:val="000000"/>
          <w:sz w:val="20"/>
        </w:rPr>
        <w:t>Disclosure Improvements:</w:t>
      </w:r>
      <w:r>
        <w:rPr>
          <w:rFonts w:ascii="Times New Roman" w:hAnsi="Times New Roman"/>
          <w:color w:val="000000"/>
          <w:sz w:val="20"/>
        </w:rPr>
        <w:t xml:space="preserve"> </w:t>
      </w:r>
      <w:r>
        <w:rPr>
          <w:rFonts w:ascii="Times New Roman" w:hAnsi="Times New Roman"/>
          <w:i/>
          <w:color w:val="000000"/>
          <w:sz w:val="20"/>
        </w:rPr>
        <w:t xml:space="preserve">Codification Amendments in Response to the SEC’s Disclosure Update and Simplification Initiative. </w:t>
      </w:r>
      <w:r>
        <w:rPr>
          <w:rFonts w:ascii="Times New Roman" w:hAnsi="Times New Roman"/>
          <w:color w:val="000000"/>
          <w:sz w:val="20"/>
        </w:rPr>
        <w:t>The amendments clarify or improve disclosure and presentation requirements on various disclosure areas, including the statement of cash flows, earnings per share, debt, equity, and derivatives. The amendments will align the requirements in the FASB ASC with the SEC’s regulations. The amendments in this ASU will be effective on the date the related disclosures are removed from Regulation S-X or Regulation S-K by the SEC, and will not be effective if the SEC has not removed the applicable disclosure requirement by June 30, 2027. Early adoption is prohibited. As the Company is currently subject to these SEC requirements, ASU 2023-06 is not expected to have a significant impact on the Company.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ASU 2024-03, Income Statement—Reporting Comprehensive Income—Expense Disaggregation Disclosures (Subtopic 220-40)</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which requires entities to disclose additional information about specific expense categories in the notes to the financial statements. The ASU is effective for annual periods beginning after December 15, 2026 and for interim periods within fiscal years beginning after December 15, 2027. Early adoption is permitted. ASU 2024-03 may be applied retrospectively or prospectively. The Company is currently evaluating the effect of this update on its condensed consolidated financial statements and related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Investments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summarize the amortized cost and estimated fair value of the Company’s available-for-sale investments as of June 30, 2026 and December 31, 2025 (in thousands):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572"/>
        <w:gridCol w:w="146"/>
        <w:gridCol w:w="273"/>
        <w:gridCol w:w="877"/>
        <w:gridCol w:w="146"/>
        <w:gridCol w:w="146"/>
        <w:gridCol w:w="593"/>
        <w:gridCol w:w="976"/>
        <w:gridCol w:w="146"/>
        <w:gridCol w:w="146"/>
        <w:gridCol w:w="571"/>
        <w:gridCol w:w="1020"/>
        <w:gridCol w:w="166"/>
        <w:gridCol w:w="146"/>
        <w:gridCol w:w="211"/>
        <w:gridCol w:w="676"/>
        <w:gridCol w:w="394"/>
      </w:tblGrid>
      <w:tr>
        <w:trPr/>
        <w:tc>
          <w:tcPr>
            <w:tcW w:w="3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48,542</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81"/>
        <w:gridCol w:w="146"/>
        <w:gridCol w:w="273"/>
        <w:gridCol w:w="878"/>
        <w:gridCol w:w="146"/>
        <w:gridCol w:w="146"/>
        <w:gridCol w:w="523"/>
        <w:gridCol w:w="1050"/>
        <w:gridCol w:w="146"/>
        <w:gridCol w:w="146"/>
        <w:gridCol w:w="603"/>
        <w:gridCol w:w="993"/>
        <w:gridCol w:w="146"/>
        <w:gridCol w:w="146"/>
        <w:gridCol w:w="211"/>
        <w:gridCol w:w="676"/>
        <w:gridCol w:w="395"/>
      </w:tblGrid>
      <w:tr>
        <w:trPr/>
        <w:tc>
          <w:tcPr>
            <w:tcW w:w="3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67,092</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77,083</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short-term debt securities with original maturities of less than 90 days are included in cash and cash equivalents on the condensed consolidated balance sheets and are not included in the tables above. As of June 30, 2026 and December 31, 2025, all short-term investments had contractual maturities within one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aggregate fair value of available-for-sale securities held by the Company in an unrealized loss position for less than 12 months as of June 30, 2026 was $40.4 million. There were no available-for-sale securities in a continuous unrealized loss position for greater than 12 months. The Company evaluated its securities for potential impairment and considered the decline in market value to be primarily attributable to current economic and market conditions. Additionally, the Company does not intend to sell the investments in an unrealized loss position and does not expect that it will be required to sell the investments before recovery of their amortized cost bases, which may be at maturity. Given the Company’s intent and ability to hold such investments until recovery, and the lack of a significant change in credit risk for these investments, the Company does not consider these investments to be impaired and there are no allowances for credit losses as of June 30, 2026.</w:t>
      </w:r>
    </w:p>
    <w:p>
      <w:pPr>
        <w:pStyle w:val="TextBody"/>
        <w:bidi w:val="0"/>
        <w:spacing w:before="360" w:after="283"/>
        <w:jc w:val="both"/>
        <w:rPr>
          <w:rFonts w:ascii="Times New Roman" w:hAnsi="Times New Roman"/>
          <w:sz w:val="20"/>
        </w:rPr>
      </w:pPr>
      <w:r>
        <w:rPr>
          <w:rFonts w:ascii="Times New Roman" w:hAnsi="Times New Roman"/>
          <w:b/>
          <w:color w:val="000000"/>
          <w:sz w:val="20"/>
        </w:rPr>
        <w:t>4. 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and indicate the level of the fair value hierarchy to determine such fair value as of June 30, 2026 and December 31, 2025 (in thousands):</w:t>
      </w:r>
    </w:p>
    <w:tbl>
      <w:tblPr>
        <w:tblW w:w="9106" w:type="dxa"/>
        <w:jc w:val="left"/>
        <w:tblInd w:w="0" w:type="dxa"/>
        <w:tblLayout w:type="fixed"/>
        <w:tblCellMar>
          <w:top w:w="28" w:type="dxa"/>
          <w:left w:w="28" w:type="dxa"/>
          <w:bottom w:w="28" w:type="dxa"/>
          <w:right w:w="28" w:type="dxa"/>
        </w:tblCellMar>
      </w:tblPr>
      <w:tblGrid>
        <w:gridCol w:w="4106"/>
        <w:gridCol w:w="146"/>
        <w:gridCol w:w="211"/>
        <w:gridCol w:w="676"/>
        <w:gridCol w:w="146"/>
        <w:gridCol w:w="146"/>
        <w:gridCol w:w="237"/>
        <w:gridCol w:w="762"/>
        <w:gridCol w:w="164"/>
        <w:gridCol w:w="164"/>
        <w:gridCol w:w="237"/>
        <w:gridCol w:w="762"/>
        <w:gridCol w:w="164"/>
        <w:gridCol w:w="164"/>
        <w:gridCol w:w="238"/>
        <w:gridCol w:w="392"/>
        <w:gridCol w:w="391"/>
      </w:tblGrid>
      <w:tr>
        <w:trPr/>
        <w:tc>
          <w:tcPr>
            <w:tcW w:w="4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41,573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6,969</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39,333</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48,542</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583" w:type="dxa"/>
        <w:jc w:val="left"/>
        <w:tblInd w:w="0" w:type="dxa"/>
        <w:tblLayout w:type="fixed"/>
        <w:tblCellMar>
          <w:top w:w="28" w:type="dxa"/>
          <w:left w:w="28" w:type="dxa"/>
          <w:bottom w:w="28" w:type="dxa"/>
          <w:right w:w="28" w:type="dxa"/>
        </w:tblCellMar>
      </w:tblPr>
      <w:tblGrid>
        <w:gridCol w:w="4106"/>
        <w:gridCol w:w="146"/>
        <w:gridCol w:w="211"/>
        <w:gridCol w:w="781"/>
        <w:gridCol w:w="146"/>
        <w:gridCol w:w="146"/>
        <w:gridCol w:w="264"/>
        <w:gridCol w:w="849"/>
        <w:gridCol w:w="183"/>
        <w:gridCol w:w="183"/>
        <w:gridCol w:w="264"/>
        <w:gridCol w:w="849"/>
        <w:gridCol w:w="183"/>
        <w:gridCol w:w="183"/>
        <w:gridCol w:w="264"/>
        <w:gridCol w:w="434"/>
        <w:gridCol w:w="391"/>
      </w:tblGrid>
      <w:tr>
        <w:trPr/>
        <w:tc>
          <w:tcPr>
            <w:tcW w:w="4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government-sponsored enterprise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9,991</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39,719</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77,083</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classifies its money market funds as Level 1 assets under the fair value hierarchy as these assets have been valued using quoted market prices in active markets without any valuation adjustment. The Company typically classifies its U.S. Treasury securities and U.S. government-sponsored enterprise securities as Level 2 assets under the fair value hierarchy as these assets have been valued using information obtained through a third-party pricing service as of the balance sheet date, using observable market inputs that may include trade information, broker or dealer quotes, bids, offers, or a combination of these data sources.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and the year ended December 31, 2025, there were no transfers between levels. The Company uses the carrying amounts of its restricted cash, prepaid expenses and other current assets, accounts payable, and accrued expenses and other current liabilities to approximate their fair values due to the short-term nature of these amounts.</w:t>
      </w:r>
    </w:p>
    <w:p>
      <w:pPr>
        <w:pStyle w:val="TextBody"/>
        <w:bidi w:val="0"/>
        <w:spacing w:before="360" w:after="283"/>
        <w:jc w:val="both"/>
        <w:rPr>
          <w:rFonts w:ascii="Times New Roman" w:hAnsi="Times New Roman"/>
          <w:sz w:val="20"/>
        </w:rPr>
      </w:pPr>
      <w:r>
        <w:rPr>
          <w:rFonts w:ascii="Times New Roman" w:hAnsi="Times New Roman"/>
          <w:b/>
          <w:color w:val="000000"/>
          <w:sz w:val="20"/>
        </w:rPr>
        <w:t>5.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net consisted of the following as of June 30, 2026 and December 31, 2025 (in thousands):</w:t>
      </w:r>
    </w:p>
    <w:p>
      <w:pPr>
        <w:pStyle w:val="TextBody"/>
        <w:bidi w:val="0"/>
        <w:jc w:val="left"/>
        <w:rPr/>
      </w:pPr>
      <w:r>
        <w:rPr/>
        <w:t> </w:t>
      </w:r>
    </w:p>
    <w:tbl>
      <w:tblPr>
        <w:tblW w:w="5697" w:type="dxa"/>
        <w:jc w:val="left"/>
        <w:tblInd w:w="0" w:type="dxa"/>
        <w:tblLayout w:type="fixed"/>
        <w:tblCellMar>
          <w:top w:w="28" w:type="dxa"/>
          <w:left w:w="28" w:type="dxa"/>
          <w:bottom w:w="28" w:type="dxa"/>
          <w:right w:w="28" w:type="dxa"/>
        </w:tblCellMar>
      </w:tblPr>
      <w:tblGrid>
        <w:gridCol w:w="3091"/>
        <w:gridCol w:w="146"/>
        <w:gridCol w:w="211"/>
        <w:gridCol w:w="631"/>
        <w:gridCol w:w="166"/>
        <w:gridCol w:w="146"/>
        <w:gridCol w:w="274"/>
        <w:gridCol w:w="821"/>
        <w:gridCol w:w="21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related to property and equipment for the three months ended June 30, 2026 and 2025 was $0.4 million and $0.3 million, respectively. Depreciation expense related to property and equipment for the six months ended June 30, 2026 and 2025 was $0.8 million and $0.6 million, respectively.</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6.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expenses and other current liabilities consisted of the following as of June 30, 2026 and December 31, 2025 (in thousands):</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4456"/>
        <w:gridCol w:w="146"/>
        <w:gridCol w:w="211"/>
        <w:gridCol w:w="571"/>
        <w:gridCol w:w="146"/>
        <w:gridCol w:w="146"/>
        <w:gridCol w:w="260"/>
        <w:gridCol w:w="835"/>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accounting and other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December 2020, the Company entered into an operating lease agreement for laboratory and office space located at 480 Arsenal Way, Watertown, Massachusetts (the “Arsenal Way Lease”). The lease commenced in April 2021, with a term of seven years and an option to extend the term for an additional five years at then-market rental rates. The Company delivered a letter of credit of $0.3 million to the landlord, which was subsequently reduced to $0.2 million in August 2024 in accordance with the lease, which is included in restricted cash in the accompanying condensed consolidated balance sheets. Under the terms of the lease, the base rent is $1.0 million, subject to a 3% annual rent increase, plus an allocation of operating expenses and taxes.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August 2023, the Company entered into an operating lease agreement, denominated in Swedish Krona, for office and laboratory space located in Lund, Sweden. The term of the lease commenced in December 2023. The lease has an initial term of three years and will automatically renew for an additional term of three years unless the Company provides written notice of termination.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2024, the Company entered into an operating lease agreement, denominated in Swedish Krona, for additional office and laboratory space adjacent to its existing leased space located in Lund, Sweden. The term of the lease commenced in September 2024. The lease has an initial term of three years and will automatically renew for an additional term of three years unless the Company provides written notice of termination.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lease cost was $0.5 million for each of the three months ended June 30, 2026 and 2025. The total lease cost was $1.0 million and $0.9 million for the six months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Future minimum annual lease commitments under the Company’s non-cancelable operating leases as of June 30, 2026 were as follows (in thousands):</w:t>
      </w:r>
    </w:p>
    <w:tbl>
      <w:tblPr>
        <w:tblW w:w="5030" w:type="dxa"/>
        <w:jc w:val="left"/>
        <w:tblInd w:w="0" w:type="dxa"/>
        <w:tblLayout w:type="fixed"/>
        <w:tblCellMar>
          <w:top w:w="28" w:type="dxa"/>
          <w:left w:w="28" w:type="dxa"/>
          <w:bottom w:w="28" w:type="dxa"/>
          <w:right w:w="28" w:type="dxa"/>
        </w:tblCellMar>
      </w:tblPr>
      <w:tblGrid>
        <w:gridCol w:w="3611"/>
        <w:gridCol w:w="146"/>
        <w:gridCol w:w="211"/>
        <w:gridCol w:w="571"/>
        <w:gridCol w:w="491"/>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 (remaining 6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Present value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8. Stockholders</w:t>
      </w:r>
      <w:r>
        <w:rPr>
          <w:rFonts w:ascii="Times New Roman" w:hAnsi="Times New Roman"/>
          <w:color w:val="000000"/>
          <w:sz w:val="20"/>
        </w:rPr>
        <w:t xml:space="preserve">’ </w:t>
      </w:r>
      <w:r>
        <w:rPr>
          <w:rFonts w:ascii="Times New Roman" w:hAnsi="Times New Roman"/>
          <w:b/>
          <w:color w:val="000000"/>
          <w:sz w:val="20"/>
        </w:rPr>
        <w:t>Equity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2022, the Board of Directors (“Board”) approved the amended and restated certificate of incorporation, which was filed upon the closing of the IPO and which authorized the Company to issue up to 10,000,000 shares of preferred stock, with a par value of $0.001. There are no shares of preferred stock issued or outstanding as of June 30,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the Company’s Amended and Restated Certificate of Incorporation authorized the Company to issue 500,000,000 shares of common stock with a par value of $0.001. The voting, dividend and liquidation rights of the holders of the Company’s common stock are subject to and qualified by the rights, powers and preferences of the holders of preferred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holders of the common stock are entitled to one vote for each share of common stock held at all meetings of stockholders (and written actions in lieu of meetings), and there are no cumulative voting rights. The number of authorized shares of common stock may be increased or decreased by the affirmative vote of the holders of shares of capital stock of the Company; however, the issuance of common stock may be subject to the vote of the holders of one or more series of preferred stock that may be required by the terms of the Amended and Restated Certificate of Incorporation.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ATM Program Sale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2026, the Company issued and sold to certain investors 4,054,954 shares of its common stock at a purchase price of $1.80 per share through its ATM Program. The ATM Program sale closed for aggregate gross proceeds of approximately $7.3 million.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and December 31, 2025, the Company had reserved the following shares of common stock for the potential exercise of stock options, potential exercise of pre-funded warrants, vesting of restricted stock units (“RSUs”), as well as the remaining shares available for issuance under the 2022 Equity Incentive Plan (the “2022 Plan”), the 2022 Employee Stock Purchase Plan (the “2022 ESPP”), and the Amended and Restated 2023 Inducement Plan (the “Inducement Plan”):</w:t>
      </w:r>
    </w:p>
    <w:tbl>
      <w:tblPr>
        <w:tblW w:w="6924" w:type="dxa"/>
        <w:jc w:val="left"/>
        <w:tblInd w:w="0" w:type="dxa"/>
        <w:tblLayout w:type="fixed"/>
        <w:tblCellMar>
          <w:top w:w="28" w:type="dxa"/>
          <w:left w:w="28" w:type="dxa"/>
          <w:bottom w:w="28" w:type="dxa"/>
          <w:right w:w="28" w:type="dxa"/>
        </w:tblCellMar>
      </w:tblPr>
      <w:tblGrid>
        <w:gridCol w:w="3931"/>
        <w:gridCol w:w="146"/>
        <w:gridCol w:w="146"/>
        <w:gridCol w:w="1036"/>
        <w:gridCol w:w="146"/>
        <w:gridCol w:w="146"/>
        <w:gridCol w:w="146"/>
        <w:gridCol w:w="1036"/>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6,176,141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Remaining shares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5,479,365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3,420,334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14,630,355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16,878,727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2022, the Board adopted, and in November 2022 its stockholders approved, the 2022 Plan, which became effective immediately prior to and contingent upon the execution of the underwriting agreement related to the Company’s IPO. The 2022 Plan allows the Company to make equity-based and cash-based incentive awards to its officers, employees, directors, and consultants and provides for the grant of incentive stock options, non-qualified stock options, stock appreciation rights, restricted stock awards, RSUs, and other stock-based awards. In addition, the number of shares reserved and available for issuance under the 2022 Plan shall automatically increase beginning on January 1, 2023 and each January 1 thereafter, by five percent of the aggregate number of shares of common stock of all classes issued and outstanding on the immediately preceding December 31 or such lesser number of shares of common stock as determined by the compensation committee. In June 2026, the Board adopted an amendment to the 2022 Plan to reserve an additional 3,000,000 shares of authorized and unissued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October 2022, the Board adopted, and in November 2022 its stockholders approved, the 2022 ESPP, which became effective immediately prior to and contingent upon the execution of the underwriting agreement related to the Company’s IPO. The number of shares of common stock that may be issued under the 2022 ESPP shall cumulatively increase beginning on January 1, 2023 and each January 1 thereafter through January 1, 2032, by one percent of the outstanding number of shares of common stock on the immediately preceding December 31 or such lesser number of shares as determined by the compensation committee. No shares of the Company’s common stock have been issued.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June 2023, the Board adopted the Inducement Plan to facilitate the granting of equity awards as an inducement material to new employees joining the Company. In April 2025, the Board amended the Inducement Plan to reserve an additional 500,000 authorized and unissued shares of common stock. The only persons eligible to receive awards under the Inducement Plan are individuals who are new employees and satisfy the standards for inducement grants under Nasdaq Listing Rule 5635(c)(4) or 5635(c)(3), as applicable. The terms of the Inducement Plan are identical to the terms of the 2022 Plan, except that no incentive stock options shall be awarded under the Inducement Plan. </w:t>
      </w:r>
    </w:p>
    <w:p>
      <w:pPr>
        <w:pStyle w:val="TextBody"/>
        <w:bidi w:val="0"/>
        <w:spacing w:before="360" w:after="283"/>
        <w:jc w:val="both"/>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granted stock options with service-based vesting conditions. Stock options typically vest over four years and have a maximum term of ten years. The Company typically grants stock options to employees and non-employees at exercise prices deemed by the Board to be equal to the fair value of the common stock at the time of grant.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assumptions that the Company used in the Black-Scholes option-pricing model to determine the grant date fair value of stock options granted during the six months ended June 30, 2026 and 2025 were as follows:</w:t>
      </w:r>
    </w:p>
    <w:p>
      <w:pPr>
        <w:pStyle w:val="TextBody"/>
        <w:bidi w:val="0"/>
        <w:jc w:val="both"/>
        <w:rPr/>
      </w:pPr>
      <w:r>
        <w:rPr/>
        <w:t> </w:t>
      </w:r>
    </w:p>
    <w:tbl>
      <w:tblPr>
        <w:tblW w:w="6235" w:type="dxa"/>
        <w:jc w:val="left"/>
        <w:tblInd w:w="0" w:type="dxa"/>
        <w:tblLayout w:type="fixed"/>
        <w:tblCellMar>
          <w:top w:w="28" w:type="dxa"/>
          <w:left w:w="28" w:type="dxa"/>
          <w:bottom w:w="28" w:type="dxa"/>
          <w:right w:w="28" w:type="dxa"/>
        </w:tblCellMar>
      </w:tblPr>
      <w:tblGrid>
        <w:gridCol w:w="2656"/>
        <w:gridCol w:w="146"/>
        <w:gridCol w:w="1726"/>
        <w:gridCol w:w="146"/>
        <w:gridCol w:w="156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range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3.62% - 4.35%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3.97% - 4.37%</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options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rate range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100.54% - 101.63%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87.51% - 90.82%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the Company’s stock option activity during the six months ended June 30, 2026:</w:t>
      </w:r>
    </w:p>
    <w:tbl>
      <w:tblPr>
        <w:tblW w:w="10205" w:type="dxa"/>
        <w:jc w:val="left"/>
        <w:tblInd w:w="0" w:type="dxa"/>
        <w:tblLayout w:type="fixed"/>
        <w:tblCellMar>
          <w:top w:w="28" w:type="dxa"/>
          <w:left w:w="28" w:type="dxa"/>
          <w:bottom w:w="28" w:type="dxa"/>
          <w:right w:w="28" w:type="dxa"/>
        </w:tblCellMar>
      </w:tblPr>
      <w:tblGrid>
        <w:gridCol w:w="3621"/>
        <w:gridCol w:w="146"/>
        <w:gridCol w:w="146"/>
        <w:gridCol w:w="931"/>
        <w:gridCol w:w="166"/>
        <w:gridCol w:w="146"/>
        <w:gridCol w:w="458"/>
        <w:gridCol w:w="1013"/>
        <w:gridCol w:w="146"/>
        <w:gridCol w:w="146"/>
        <w:gridCol w:w="350"/>
        <w:gridCol w:w="1121"/>
        <w:gridCol w:w="146"/>
        <w:gridCol w:w="146"/>
        <w:gridCol w:w="304"/>
        <w:gridCol w:w="826"/>
        <w:gridCol w:w="393"/>
      </w:tblGrid>
      <w:tr>
        <w:trPr/>
        <w:tc>
          <w:tcPr>
            <w:tcW w:w="3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Contractual 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b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reporting period. The aggregate intrinsic value of options exercised during each of the six months ended June 30, 2026 and 2025 was immaterial.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 date fair value of the Company’s stock options granted during the three months ended June 30, 2026 and 2025 was $1.33 and $1.06 per option, respectively. The weighted-average grant date fair value of the Company’s stock options granted during the six months ended June 30, 2026 and 2025 was $1.24 and $3.81 per option, respectively. As of June 30, 2026, there was $10.3 million of unrecognized stock-based compensation expense related to stock option grants. The Company expects to recognize this amount over a weighted-average period of 2.9 years.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granted RSUs with service-based vesting conditions. Unvested shares of restricted common stock may not be sold or transferred by the holder and they do not constitute issued and outstanding shares. These restrictions lapse according to the time-based vesting of each award.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the Company’s RSU activity during the six months ended June 30, 2026:</w:t>
      </w:r>
    </w:p>
    <w:p>
      <w:pPr>
        <w:pStyle w:val="TextBody"/>
        <w:bidi w:val="0"/>
        <w:jc w:val="both"/>
        <w:rPr/>
      </w:pPr>
      <w:r>
        <w:rPr/>
        <w:t> </w:t>
      </w:r>
    </w:p>
    <w:tbl>
      <w:tblPr>
        <w:tblW w:w="7030" w:type="dxa"/>
        <w:jc w:val="left"/>
        <w:tblInd w:w="0" w:type="dxa"/>
        <w:tblLayout w:type="fixed"/>
        <w:tblCellMar>
          <w:top w:w="28" w:type="dxa"/>
          <w:left w:w="28" w:type="dxa"/>
          <w:bottom w:w="28" w:type="dxa"/>
          <w:right w:w="28" w:type="dxa"/>
        </w:tblCellMar>
      </w:tblPr>
      <w:tblGrid>
        <w:gridCol w:w="2701"/>
        <w:gridCol w:w="146"/>
        <w:gridCol w:w="231"/>
        <w:gridCol w:w="1479"/>
        <w:gridCol w:w="166"/>
        <w:gridCol w:w="146"/>
        <w:gridCol w:w="476"/>
        <w:gridCol w:w="1294"/>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RSUs typically vest over three to four years. If and when an RSU vests, the Company will issue one share of common stock for each whole RSU that has vested, subject to satisfaction of the employee’s tax withholding obligations. Upon vesting and settlement of RSUs, the Company may withhold the portion of those shares with a fair market value equal to the amount of the minimum statutory withholding taxes due. The withheld shares are accounted for as repurchases of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weighted-average grant date fair value of the Company’s RSUs granted during the three and six months ended June 30, 2026 was $1.65. No RSUs were granted during the three and six months ended June 30, 2025. As of June 30, 2026, there was $2.1 million of unrecognized stock-based compensation expense related to RSUs. The Company expects to recognize this amount over a weighted-average period of 2.6 years.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total fair value of RSUs vested during the three months ended June 30, 2026 and 2025 was $0.7 million and $2.2 million, respectively. The total fair value of RSUs vested during the six months ended June 30, 2026 and 2025 was $1.4 million and $4.5 million,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expense included in the Company’s condensed consolidated statements of operations and comprehensive loss for the three and six months ended June 30, 2026 and 2025 is as follows (in thousands):</w:t>
      </w:r>
    </w:p>
    <w:p>
      <w:pPr>
        <w:pStyle w:val="TextBody"/>
        <w:bidi w:val="0"/>
        <w:jc w:val="left"/>
        <w:rPr/>
      </w:pPr>
      <w:r>
        <w:rPr/>
        <w:t> </w:t>
      </w:r>
    </w:p>
    <w:tbl>
      <w:tblPr>
        <w:tblW w:w="8412" w:type="dxa"/>
        <w:jc w:val="left"/>
        <w:tblInd w:w="0" w:type="dxa"/>
        <w:tblLayout w:type="fixed"/>
        <w:tblCellMar>
          <w:top w:w="28" w:type="dxa"/>
          <w:left w:w="28" w:type="dxa"/>
          <w:bottom w:w="28" w:type="dxa"/>
          <w:right w:w="28" w:type="dxa"/>
        </w:tblCellMar>
      </w:tblPr>
      <w:tblGrid>
        <w:gridCol w:w="3451"/>
        <w:gridCol w:w="146"/>
        <w:gridCol w:w="257"/>
        <w:gridCol w:w="697"/>
        <w:gridCol w:w="178"/>
        <w:gridCol w:w="178"/>
        <w:gridCol w:w="257"/>
        <w:gridCol w:w="697"/>
        <w:gridCol w:w="146"/>
        <w:gridCol w:w="146"/>
        <w:gridCol w:w="235"/>
        <w:gridCol w:w="637"/>
        <w:gridCol w:w="162"/>
        <w:gridCol w:w="162"/>
        <w:gridCol w:w="235"/>
        <w:gridCol w:w="63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2,670</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4,395</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10. Net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and diluted net loss per share attributable to common stockholders for the three and six months ended June 30, 2026 and 2025 was calculated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924"/>
        <w:gridCol w:w="146"/>
        <w:gridCol w:w="211"/>
        <w:gridCol w:w="1036"/>
        <w:gridCol w:w="166"/>
        <w:gridCol w:w="146"/>
        <w:gridCol w:w="211"/>
        <w:gridCol w:w="1036"/>
        <w:gridCol w:w="166"/>
        <w:gridCol w:w="146"/>
        <w:gridCol w:w="211"/>
        <w:gridCol w:w="1036"/>
        <w:gridCol w:w="166"/>
        <w:gridCol w:w="146"/>
        <w:gridCol w:w="211"/>
        <w:gridCol w:w="1036"/>
        <w:gridCol w:w="21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41,841,887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38,461,619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40,291,956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38,406,339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potentially dilutive securities, which include stock options and RSUs,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shares from the computation of diluted net loss per share attributable to common stockholders as of June 30, 2026 and 2025 because including them would have had an anti-dilutive effect:</w:t>
      </w:r>
    </w:p>
    <w:tbl>
      <w:tblPr>
        <w:tblW w:w="5754" w:type="dxa"/>
        <w:jc w:val="left"/>
        <w:tblInd w:w="0" w:type="dxa"/>
        <w:tblLayout w:type="fixed"/>
        <w:tblCellMar>
          <w:top w:w="28" w:type="dxa"/>
          <w:left w:w="28" w:type="dxa"/>
          <w:bottom w:w="28" w:type="dxa"/>
          <w:right w:w="28" w:type="dxa"/>
        </w:tblCellMar>
      </w:tblPr>
      <w:tblGrid>
        <w:gridCol w:w="2971"/>
        <w:gridCol w:w="146"/>
        <w:gridCol w:w="146"/>
        <w:gridCol w:w="931"/>
        <w:gridCol w:w="146"/>
        <w:gridCol w:w="146"/>
        <w:gridCol w:w="146"/>
        <w:gridCol w:w="93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8,132,397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6,086,675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1,018,593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595,355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manages its operations as a single operating and reportable segment focused on the research and development of precision oncology therapies. The accounting policies of the single reportable segment are identical to those described in Note 2. The Company’s chief operating decision maker is its chief executive officer, who manages the Company’s operations on a consolidated basis, assesses performance for the reportable segment using consolidated net loss to monitor budget versus actual results and to determine how to effectively allocate the Company’s resources. The measure of segment assets is reported on the consolidated balance sheets as total consolidated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certain financial data including significant segment expenses for the Company’s reportable segment for the three and six months ended June 30, 2026 and 2025 (in thousands):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5001"/>
        <w:gridCol w:w="146"/>
        <w:gridCol w:w="214"/>
        <w:gridCol w:w="750"/>
        <w:gridCol w:w="168"/>
        <w:gridCol w:w="148"/>
        <w:gridCol w:w="214"/>
        <w:gridCol w:w="750"/>
        <w:gridCol w:w="166"/>
        <w:gridCol w:w="146"/>
        <w:gridCol w:w="211"/>
        <w:gridCol w:w="736"/>
        <w:gridCol w:w="166"/>
        <w:gridCol w:w="146"/>
        <w:gridCol w:w="211"/>
        <w:gridCol w:w="736"/>
        <w:gridCol w:w="296"/>
      </w:tblGrid>
      <w:tr>
        <w:trPr/>
        <w:tc>
          <w:tcPr>
            <w:tcW w:w="5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ACR-368 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ACR-2316 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drug discovery programs 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Personnel-related indirect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Facilities, supplies and other indirect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(40,686</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13"/>
        </w:rPr>
        <w:t>1</w:t>
      </w:r>
      <w:r>
        <w:rPr>
          <w:rFonts w:ascii="Times New Roman" w:hAnsi="Times New Roman"/>
          <w:color w:val="000000"/>
          <w:sz w:val="20"/>
        </w:rPr>
        <w:t xml:space="preserve"> </w:t>
      </w:r>
      <w:r>
        <w:rPr>
          <w:rFonts w:ascii="Times New Roman" w:hAnsi="Times New Roman"/>
          <w:i/>
          <w:color w:val="000000"/>
          <w:sz w:val="20"/>
        </w:rPr>
        <w:t>Other segment items consist of interest income and other expense, net. Interest income consists of interest income earned on cash equivalents and investments and amortization of premiums and accretion of discounts to maturity for available-for-sale debt securities. Other expense, net primarily consists of realized and unrealized gains and losses on foreign currency transactions, state and franchise taxes, and investment management fees.</w:t>
      </w:r>
    </w:p>
    <w:p>
      <w:pPr>
        <w:pStyle w:val="TextBody"/>
        <w:bidi w:val="0"/>
        <w:spacing w:before="120" w:after="283"/>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20" w:after="283"/>
        <w:jc w:val="both"/>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commitments under its operating leases are described in Note 7.</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January 2021, the Company entered into a license agreement and stock issuance agreement with Lilly (collectively, the “Lilly Agreement”), pursuant to which the Company has been granted an exclusive, royalty-bearing sublicensable license to certain patents owned or controlled by Lilly, with worldwide rights to commercially develop, manufacture, use, distribute and sell therapeutic products containing the compound prexasertib. The license from Lilly comprises three families of patent filings all relating to ACR-368. Additionally, pursuant to the Lilly Agreement, the Company received ACR-368 drug substance and drug product to be used in future research. In July 2025, the Company obtained unencumbered worldwide exclusive rights to freely engage in strategic partnerships, business development, and co-development opportunities for ACR-368, inclusive of all related intellectual property, in all territories and regions, after the triggering of Lilly’s limited right of first negotiation (“ROFN”), which the parties agreed under the terms of the agreement had expired.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initial consideration for the license, the Company made a one-time, non-creditable, non-refundable upfront payment of $5.0 million. As additional consideration for the license, the Company is required to pay Lilly aggregate development and commercial milestone payments of up to $168.0 million, of which $5.0 million is due prior to a new drug application.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also obligated to pay a tiered percentage royalty on annual net sales ranging from single-digit up to a maximum of 10%, subject to certain specified reductions. Royalties are payable by the Company on a licensed product-by-licensed product and country-by-country basis until the later of the expiration of the last valid claim covering the licensed product in such country, expiration of all applicable regulatory exclusivities in such country for such licensed product and the tenth anniversary of the first commercial sale of such licensed product in such country, provided that the Company’s obligation to pay royalties for a given licensed product in a given country will expire earlier upon achievement of certain sales thresholds by generic products in such country.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no milestone payments or royalties have been incurred related to the Lilly Agreement.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indemnification agreements with each of its directors and executive officers that will require the Company, among other things, to indemnify them against certain liabilities that may arise by reason of their status or services as directors or executive officers. 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has not accrued any liabilities related to such obligations in its financial statements as of June 30, 2026 and December 31, 2025.</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in the ordinary course of business, the Company is subject to litigation and regulatory examinations as well as information gathering requests, inquiries and investigations. The Company is not currently a party to any material legal proceedings and is not aware of any pending or threatened legal proceedings that could have an adverse effect on the Company’s business, operating results or financial condition.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enters into contracts in the normal course of business with various third parties for preclinical research studies, clinical trials, testing, manufacturing and other services. These contracts generally provide for termination upon notice and are cancelable without significant penalty or payment, and do not contain any minimum purchase commitments.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13. Employee Benefit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January 1, 2019, the Company adopted a 401(k) Plan for its employees, which is designed to be qualified under Section 401(k) of the Internal Revenue Code. Eligible employees are permitted to contribute to the 401(k) Plan within statutory and 401(k) Plan limits. The 401(k) Plan allows for the discretionary matching by the Company of a percentage of contributions. The Company contributed $0.1 million to the 401(k) Plan for each of the three months ended June 30, 2026 and 2025. The Company contributed $0.3 million to the 401(k) Plan for each of the six months ended June 30, 2026 and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managements_discussion_and_analysis"/>
      <w:bookmarkEnd w:id="10"/>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related notes and other financial information included elsewhere in this Quarterly Report on Form 10-Q, and the audited consolidated financial statements and notes thereto as of and for the year ended December 31, 2025 and the related Management’s Discussion and Analysis of Financial Condition and Results of Operations included in our Annual Report on Form 10-K filed with the SEC on March 19, 2026. Some of the information contained in this discussion and analysis or set forth elsewhere in this Quarterly Report, including information with respect to our plans and strategy for our business and related financing, includes forward-looking statements that involve risks and uncertainties. As a result of many factors, including those factors set forth in the “Special Note Regarding Forward-Looking Statements” and “Risk Factors” sections of this Quarterly Report on Form 10-Q, our actual results could differ materially from the results described in or implied by the forward-looking statements contained in the following discussion and analysis. Unless the context requires otherwise, references in this Quarterly Report on Form 10-Q to “Acrivon,” the “Company,” “we,” “us,” and “our” refer to Acrivon Therapeutics, Inc. and its subsidiaries.</w:t>
      </w:r>
    </w:p>
    <w:p>
      <w:pPr>
        <w:pStyle w:val="TextBody"/>
        <w:bidi w:val="0"/>
        <w:spacing w:before="36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 clinical-stage biotechnology company discovering and developing precision medicines utilizing our proprietary Acrivon Predictive Precision Proteomics, or AP3, platform. The AP3 platform is driven by Generative Phosphoproteomics, which is designed to allow us to quantify the global, drug-regulated compound-specific effects and pathway activity levels inside the intact cell in an unbiased manner. As such, all drug-regulated effects on the disease-driving, upregulated pathways and active proteins are revealed for each compound that we profile. The AP3 platform is comprised of a growing suite of powerful, internally developed tools, including the AP3 Interactome, the AP3 Kinase Substrate Relationship Predictor, or KaiSR, the AP3 Data Portal, designed to enable the conversion of multimodal data into structured data amenable for generative AI analyses, and the AP3 Chatbot. Through the combination of these distinctive tools and capabilities, the platform enables us to go beyond current AI target-centric drug discovery and to rapidly design highly differentiated compounds with high target specificity and optimal, desirable pathway effects on the intracellular signaling network to mechanistically address the underlying molecular cause of disease. The integrated analyses of our AP3-generated proprietary datasets through a unified computational interface enable streamlined transition from preclinical to the clinical phase, as exemplified by the development of ACR-2316. We apply these distinctive capabilities of AP3 for rational drug design optimization for monotherapy activity, the identification of drug combinations, novel target identification, the evaluation of potential in-licensing candidates, identification of potential mechanism based adverse events, and patient response prediction.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By applying our highly differentiated AP3 applications to drug discovery and development, we seek to both accelerate clinical development and significantly increase the probability of successful treatment outcomes for patients. Our pipeline includes our Phase 2b lead program, ACR-368, also known as prexasertib, a precision oncology asset in-licensed from Eli Lilly and Company, or Lilly, that targets CHK1 and CHK2, or CHK1/2. In past Lilly-sponsored trials, ACR-368 was dosed in more than 400 patients at the recommended Phase 2 dose, or RP2D, with reported deep, durable responses, including complete responses, or CRs, in a proportion of patients with solid tumors in past single center and multicenter Phase 2 clinical trials in tumor indications with high unmet need. ACR-368 also demonstrated a generally favorable safety and tolerability profile with primarily reversible hematological toxicity and very limited non-hematological adverse events.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While Lilly had explored ACR-368 in many solid tumor types in the above-mentioned studies, they never tested endometrial cancer, or EC. Using our AP3 platform, we generated a protein-based tumor biopsy test, called OncoSignature, designed to prospectively predict treatment benefit of ACR-368 at an individual patient level. Using the OncoSignature for screening across routine processed human tumor types (“Indication Finding”) we identified EC as a tumor type which was predicted to be particularly sensitive to ACR-368. Based on this, we received clearance from the U.S. Food and Drug Administration, or FDA, for an Investigational New Drug, or IND, application to advance ACR-368 in Phase 2 single arm clinical trials in multiple tumor types including EC, conducted under the FDA program known as the master protocol, which was developed to help expedite drug development for drugs with an established RP2D within the same overall trial structure. Subjects in Arm 1 of the ACR-368-201 study are stratified for treatment based on OncoSignature-positive, or BM+, predicted sensitivity to ACR-368, across multiple sites in the United States in this registrational-intent trial.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Based on interim clinical data from the ACR-368-201 trial, with a data cutoff of December 4, 2025, we observed that the ORR in Arm 1 of EC was 39%, and 44% in patients treated with ≤2 prior lines of therapy, or pLoT. Across pooled BM+ and OncoSignature-negative, or BM-, subjects with serous EC, ≤2 pLoT showed a confirmed ORR of 52%. Serous EC is a very high unmet need and extremely aggressive form of EC, contributing to ~50% of all EC mortality. Based on this finding, Arms 3 and 4 have been added to the study. Arm 3 is investigating ACR-368 in serous EC subjects with ≤2 pLoT without the need for pre-treatment tumor biopsy or biomarker stratification (“a serous all comer”), and utilizes ultra-low dose gemcitabine, or ULDG, as a sensitizer. Arm 4 is investigating the same “serous all comer” subject group but treated just with single agent ACR-368 without ULDG. A prespecified simultaneous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interim analysis and data update from both all comer (biopsy-independent) serous EC arms of the ACR-368 Phase 2b study is expected in the second half of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previously confirmed in preclinical studies that ULDG sensitizes both BM- and BM+ tumors to ACR-368, as predicted by the AP3 platform, and this is consistent with an upregulation of the ACR-368 OncoSignature biomarkers in both human tumor cell lines and in human tumor xenograft mouse models after ULDG treatment. Consistent with this, ACR-368 is also being studied in combination with ULDG in additional indications, such as squamous cell carcinomas, including squamous cell cancer of head and neck, or SCCHN, in an Investigator-Initiated Trial, or IIT. Given broad anti-tumor activity observed in past trials in other tumor types, we will potentially study ACR-368 in additional tumor types, potentially with ULDG, where there is high unmet need and competitive positioning opportunity. For example, we are assessing trial initiation in myelodysplastic syndrome/myeloproliferative neoplasms, or MDS/MPN, diseases with high unmet need, based on transcription factor gene mutations rendering these malignancies sensitive to CHK1/2 as observed in various preclinical studies, including studies using ACR-368.</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also leveraging our AP3 precision medicine platform for streamlined drug discovery through AP3-based drug optimization in intact cells and co-crystallography and to develop our internally discovered pipeline programs. These include ACR-2316, our second clinical-stage asset, which is a novel, selective, dual WEE1/PKMYT1 inhibitor designed specifically for an enhanced therapeutic index by achieving superior single-agent activity through strong activation of not only CDK1 and CDK2 but also of PLK1 to drive pro-apoptotic cell death, as observed in preclinical studies against benchmark inhibitors, combined with exquisite selectivity.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ongoing ACR-2316 Phase 1/2 study is designed to assess the safety and tolerability of ACR-2316. Additionally, the study will seek to establish the pharmacokinetic profile, evaluate preliminary anti-tumor activity and determine the recommended Phase 2 monotherapy dose. Dose optimization is being conducted in alignment with the FDA’s Project Optimus. The study is now in dose expansion which will evaluate ACR-2316 in small cell lung cancer (SCLC), squamous non-small cell lung cancer (sqNSCLC), and adenocarcinoma non-small cell lung cancer (adNSCLC) subjects with AP3-identified, molecularly-defined tumors. The expansion utilizes a 3d on / 4d off weekly administration schedule and will include stratification by lung cancer versus non-lung cancer tumor types, with 1:1 randomization within each group to the 120 mg QD or 160 mg QD dose level. The two selected doses are candidate doses for final recommended phase 2 dose selection.</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addition, we are advancing internally discovered development candidates targeting CDK11. In preclinical studies, our CDK11 inhibitors result in potent, pro-apoptotic tumor cell death in aggressive AML cell lines and show complete tumor regression </w:t>
      </w:r>
      <w:r>
        <w:rPr>
          <w:rFonts w:ascii="Times New Roman" w:hAnsi="Times New Roman"/>
          <w:i/>
          <w:color w:val="000000"/>
          <w:sz w:val="20"/>
        </w:rPr>
        <w:t>in vivo</w:t>
      </w:r>
      <w:r>
        <w:rPr>
          <w:rFonts w:ascii="Times New Roman" w:hAnsi="Times New Roman"/>
          <w:color w:val="000000"/>
          <w:sz w:val="20"/>
        </w:rPr>
        <w:t xml:space="preserve">. They potently downregulate MCL1, a major resistance mechanism in AML to BCL2 inhibitors, and, consistent with this, have shown synergy with BCL2 inhibitors.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in 2018, we have devoted substantially all of our resources toward conducting discovery and research activities, organizing and staffing our company, business planning, acquiring and internally discovering drug candidates, establishing and protecting our intellectual property portfolio, developing and progressing ACR-368 and the ACR-368 OncoSignature, preparing for and conducting preclinical studies and clinical trials, establishing arrangements with third parties for the manufacture of ACR-368, the ACR-368 OncoSignature and component materials, establishing arrangements with third parties for the manufacture of ACR-2316, initiating a Phase 1/2 clinical trial for ACR-2316, and initiating IND enabling studies for candidates from our CDK11 program, and advancing our internal co-crystallography-driven, AP3-enabled preclinical programs, conducting preclinical studies, as well as raising capital. We do not have any drug candidates approved for sale and have not generated any revenue from drug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inception, we have funded our operations primarily with proceeds from the sales of shares of our convertible preferred stock, the issuance of convertible notes, our initial public offering, or IPO, and concurrent private placement, the April 2024 Private Placement, which included pre-funded warrants, and “at-the-market” offerings, or the ATM Program. Upon the closing of our IPO on November 17, 2022, only common stock remains issued and outstanding. In April 2026, we issued and sold to certain investors 4,054,954 shares of our common stock at a purchase price of $1.80 per share through our ATM Program. The ATM Program sale closed for aggregate gross proceeds of approximately $7.3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incurred recurring operating losses since inception. Our net losses for the six months ended June 30, 2026 and 2025 were $37.0 million and $40.7 million, respectively. As of June 30, 2026, we had an accumulated deficit of $311.9 million. These losses have resulted primarily from costs incurred in connection with research and development activities and general and administrative costs associated with our operations. We expect to continue to incur significant and increasing expenses and operating losses for the foreseeable future, particularly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to conduct or initiate new preclinical studies and clinical trials for our clinical-stage assets, ACR-368 and ACR-2316;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to discover and develop additional drug candidates and drug-tailored OncoSignature tests;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acquire or in-license other drug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hire additional clinical and scientific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develop and refine the manufacturing processes for ACR-368, the ACR-368 OncoSignature, ACR-2316, or any future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seek regulatory approvals and pursue commercialization for any drug candidates that successfully complete clinical trials;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drug development and planned future commercialization efforts, as well as to support our obligations as a public reporting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incurring and expect to continue to incur significant costs associated with operating as a public company. Furthermore, we will not generate revenue from drug sales until we successfully complete clinical development and obtain regulatory approval for a drug candidate. In addition, if we obtain regulatory approval for a drug candidate and do not enter into a third-party commercialization partnership, we expect to incur significant expenses related to developing our commercialization capability to support drug sales, marketing, manufacturing and distribution activities. Our net losses may fluctuate significantly from quarter-to-quarter and year-to-year, depending on the timing of our planned clinical studies, milestones achieved, and our expenditures on other research and development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we will need substantial additional funding to support our continuing operations and pursue our growth strategy. Until such time as we can generate significant revenue from drug sales, if ever, we expect to finance our operations through the sale of equity, debt financings or other capital sources, including potential collaborations with other companies or other strategic transactions. If we are unable to raise capital as needed, this could have a negative impact on our financial condition and ability to pursue our business strategies including requiring us to delay, reduce or eliminate drug development or future commercialization efforts. The amount and timing of our future funding requirements will depend on many factors including the successful advancement of ACR-368, the ACR-368 OncoSignature, ACR-2316, or any future drug candidates. We continue to prioritize investment in activities expected to generate the most significant near-term value, including completion of ongoing clinical studies and key data readouts. Certain discretionary development activities, including initiation of additional studies or earlier-stage programs, may be timed based on the availability of additional capital. Our ability to raise additional funds may also be adversely impacted by potential worsening global economic conditions, and disruptions to, and volatility in the credit and financial markets in the United States and worldwide, such as those resulting from conflicts in the Middle East and the war in Ukraine and the uncertainties related to international trade policies and tariffs. There can be no assurance that the current operating plan will be achieved or that additional funding will be available on terms acceptable to us, or at all.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had cash, cash equivalents and investments of $90.0 million. We believe that our existing cash, cash equivalents and investments as of June 30, 2026 will enable us to fund our operating expenses and capital expenditure requirements into the fourth quarter of 2027. We have based this estimate on assumptions that may prove to be wrong, and we could exhaust our available capital resources sooner than we expect. See the section titled “—Liquidity and Capital Resources.”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not generated any revenue, and we do not expect to generate any revenue in the foreseeable future from drug sales. We may in the future generate revenue from payments received under collaboration agreements, which could potentially include (but not be limited to) payments of upfront fees, license fees, milestone-based payments and reimbursements for research and development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majority of our expenses have been research and development expenses, which consist primarily of costs incurred in connection with the development of ACR-368 and ACR-2316, and the ACR-368 OncoSignature, as well as our research and development activities, including our drug discovery efforts. We expense research and development costs as incurred, which include: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external research and development expenses incurred under agreements with clinical research organizations, or CROs, as well as investigative sites and consultants that conduct our clinical trials and other scientific development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manufacturing material for our clinical trials, including fees paid to contract manufacturing organizations, or CMOs;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scale-up expenses and the cost of acquiring and manufacturing clinical trial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direct costs for conducting internal research and development to generate preclinical validation data for ACR-368 including the ACR-368 OncoSignature, for ACR-2316, and for our internal preclinical drug discovery programs inclusive of our CDK11 inhibitor program;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the establishment, certification, and continued operations of our CLIA laboratory;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 to obtain and maintain licenses to intellectual property, such as those with Lilly and related future payments should certain milestones be achieved;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employee-related expenses, including salaries, bonuses, benefits, stock-based compensation, and other related costs for those employees involved in research and development efforts;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of outside consultants, including their fees, stock-based compensation, and related travel expenses;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expenses to acquire technologies to be used in research and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upfront and maintenance fees incurred under license, acquisition, and other third-party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related to regulatory activities, including filing fees paid to regulatory agencies and compliance with regulatory requirements;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facilities, depreciation, and other expenses, which include direct and allocated expenses for rent, maintenance of facilities, and equipment and software.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costs are expensed as incurred. We recognize external development costs as related goods are delivered or services are performed. Significant judgments and estimates are made in determining the accrued expense balances at the end of any reporting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record direct costs for our development, discovery, and early-stage drug candidates at the program level. Our indirect research and development costs are primarily personnel-related costs, facilities, and other costs. Employees and infrastructure are not directly tied to any one program and are deployed across our programs. As such, we do not track these costs on a specific program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external research and development expenses consist primarily of fees paid to CROs, CMOs, research laboratories, and outside consultants in connection with our process development, manufacturing, and clinical development activities. Our direct external research and development expenses also include fees incurred under license and intellectual property purchase agreements. We track these external research and development costs on a program-by-program basis once we have identified a drug candidate.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successful development of our ACR-368 and ACR-368 OncoSignature test, ACR-2316, or any other future drug candidates, is highly uncertain. We plan to maintain our research and development expenses for the foreseeable future as we continue the development and manufacturing of ACR-368 and ACR-2316 and conduct discovery and research activities for our preclinical programs, including our CDK11 inhibitor program. Upon additional funding, we plan to engage in additional discretionary development activities, including initiation of additional studies or earlier-stage programs.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cannot determine with certainty the timing of initiation, the duration, or the completion costs of current or future clinical trials of our drug candidates due to the inherently unpredictable nature of preclinical and clinical development. Clinical development timelines, the probability of success and development costs can differ materially from expectations. We anticipate that we will make determinations as to which drug candidates to pursue and how much funding to direct to each drug candidate on an ongoing basis in response to the results of ongoing and future clinical trials, regulatory developments and our ongoing assessments as to each drug candidate’s commercial potential. We will need to raise substantial additional capital in the future. Our clinical development costs are expected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increase significantly with our ongoing and planned clinical trials. We anticipate that our expenses will increase substantially, particularly due to the numerous risks and uncertainties associated with developing drug candidates, including the uncertainty of: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rate of progress and expenses of our ongoing research activities and clinical trials and other research and development activities;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confirming the appropriate safety profile established in past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successful enrollment in and completion of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our drug candidates show sufficient efficacy in our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receipt of marketing approvals from applicable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establishing commercial manufacturing capabilities or making arrangements with third-party manufacturers;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establish additional collaboration or license agreements;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commercializing drug candidates, if and when approved, whether alone or in collaboration with others;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continued acceptable safety profile of the products following any regulatory approval.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Any changes in the outcome of any of these variables with respect to the development of our drug candidates in clinical development could mean a significant change in the costs and timing associated with the development of these drug candidates. We may never succeed in achieving regulatory approval for any of our drug candidates. We may obtain unexpected results from our clinical trials. We may elect to discontinue, delay or modify clinical trials of some drug candidates or focus on others. For example, if the FDA, European Medicines Agency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drug candidate. </w:t>
      </w:r>
    </w:p>
    <w:p>
      <w:pPr>
        <w:pStyle w:val="TextBody"/>
        <w:bidi w:val="0"/>
        <w:spacing w:before="360" w:after="283"/>
        <w:jc w:val="both"/>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employee-related costs, including salaries, bonuses, benefits, and stock-based compensation expenses for personnel in executive, finance, accounting, human resources and other administrative functions. Other significant general and administrative expenses include legal fees relating to patent, intellectual property and corporate matters, fees paid for accounting, audit, consulting and other professional services, and expenses for rent, insurance and other operating costs.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anticipate that our general and administrative expenses will be consistent as we support our continued research activities and development of our drug candidates. We also anticipate that we will continue to incur significant accounting, audit, legal, regulatory, compliance and director and officer insurance costs, as well as investor and public relations expenses associated with operating as a public company. </w:t>
      </w:r>
    </w:p>
    <w:p>
      <w:pPr>
        <w:pStyle w:val="TextBody"/>
        <w:bidi w:val="0"/>
        <w:spacing w:before="360" w:after="283"/>
        <w:jc w:val="both"/>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consists of income earned on cash equivalents and investments and amortization of premiums and accretion of discounts to maturity for available-for-sale debt securities.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expense, net primarily consists of realized and unrealized gains and losses on foreign currency transactions, state and franchise taxes, and investment management fees.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jc w:val="both"/>
        <w:rPr/>
      </w:pPr>
      <w:r>
        <w:rPr/>
        <w:t> </w:t>
      </w:r>
    </w:p>
    <w:tbl>
      <w:tblPr>
        <w:tblW w:w="6585" w:type="dxa"/>
        <w:jc w:val="left"/>
        <w:tblInd w:w="0" w:type="dxa"/>
        <w:tblLayout w:type="fixed"/>
        <w:tblCellMar>
          <w:top w:w="28" w:type="dxa"/>
          <w:left w:w="28" w:type="dxa"/>
          <w:bottom w:w="28" w:type="dxa"/>
          <w:right w:w="28" w:type="dxa"/>
        </w:tblCellMar>
      </w:tblPr>
      <w:tblGrid>
        <w:gridCol w:w="2511"/>
        <w:gridCol w:w="146"/>
        <w:gridCol w:w="216"/>
        <w:gridCol w:w="756"/>
        <w:gridCol w:w="170"/>
        <w:gridCol w:w="149"/>
        <w:gridCol w:w="216"/>
        <w:gridCol w:w="756"/>
        <w:gridCol w:w="166"/>
        <w:gridCol w:w="146"/>
        <w:gridCol w:w="211"/>
        <w:gridCol w:w="631"/>
        <w:gridCol w:w="5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(17,964</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(in thousands):</w:t>
      </w:r>
    </w:p>
    <w:p>
      <w:pPr>
        <w:pStyle w:val="TextBody"/>
        <w:bidi w:val="0"/>
        <w:jc w:val="both"/>
        <w:rPr/>
      </w:pPr>
      <w:r>
        <w:rPr/>
        <w:t> </w:t>
      </w:r>
    </w:p>
    <w:tbl>
      <w:tblPr>
        <w:tblW w:w="8821" w:type="dxa"/>
        <w:jc w:val="left"/>
        <w:tblInd w:w="0" w:type="dxa"/>
        <w:tblLayout w:type="fixed"/>
        <w:tblCellMar>
          <w:top w:w="28" w:type="dxa"/>
          <w:left w:w="28" w:type="dxa"/>
          <w:bottom w:w="28" w:type="dxa"/>
          <w:right w:w="28" w:type="dxa"/>
        </w:tblCellMar>
      </w:tblPr>
      <w:tblGrid>
        <w:gridCol w:w="4866"/>
        <w:gridCol w:w="146"/>
        <w:gridCol w:w="231"/>
        <w:gridCol w:w="741"/>
        <w:gridCol w:w="160"/>
        <w:gridCol w:w="160"/>
        <w:gridCol w:w="231"/>
        <w:gridCol w:w="741"/>
        <w:gridCol w:w="146"/>
        <w:gridCol w:w="146"/>
        <w:gridCol w:w="211"/>
        <w:gridCol w:w="631"/>
        <w:gridCol w:w="411"/>
      </w:tblGrid>
      <w:tr>
        <w:trPr/>
        <w:tc>
          <w:tcPr>
            <w:tcW w:w="4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ACR-368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ACR-2316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drug discovery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supplies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13,844</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were $13.8 million for the three months ended June 30, 2026, compared to $16.2 million for the three months ended June 30, 2025. The decrease of $2.3 million was primarily due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$1.4 million net decrease in costs for the ACR-368 clinical trial and its related supporting activities, primarily due to milestone achievements recognized in 2025 that did not recur in 2026;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$0.5 million net decrease in costs related to the ACR-2316 clinical trial, primarily due to scheduled dose escalation activities throughout both periods.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were $4.8 million for the three months ended June 30, 2026, compared to $6.5 million for the three months ended June 30, 2025. The decrease of $1.6 million was primarily due to a decrease of $1.4 million in employee-related expenses including stock-based compensation expense.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Total 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other income, net was $0.7 million for the three months ended June 30, 2026, compared to total other income, net of $1.6 million for the three months ended June 30, 2025. The change of $0.9 million is primarily attributable to a decrease in interest income and accretion earned on our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results of operations (in thousands):</w:t>
      </w:r>
    </w:p>
    <w:p>
      <w:pPr>
        <w:pStyle w:val="TextBody"/>
        <w:bidi w:val="0"/>
        <w:jc w:val="both"/>
        <w:rPr/>
      </w:pPr>
      <w:r>
        <w:rPr/>
        <w:t> </w:t>
      </w:r>
    </w:p>
    <w:tbl>
      <w:tblPr>
        <w:tblW w:w="6528" w:type="dxa"/>
        <w:jc w:val="left"/>
        <w:tblInd w:w="0" w:type="dxa"/>
        <w:tblLayout w:type="fixed"/>
        <w:tblCellMar>
          <w:top w:w="28" w:type="dxa"/>
          <w:left w:w="28" w:type="dxa"/>
          <w:bottom w:w="28" w:type="dxa"/>
          <w:right w:w="28" w:type="dxa"/>
        </w:tblCellMar>
      </w:tblPr>
      <w:tblGrid>
        <w:gridCol w:w="2511"/>
        <w:gridCol w:w="146"/>
        <w:gridCol w:w="211"/>
        <w:gridCol w:w="736"/>
        <w:gridCol w:w="166"/>
        <w:gridCol w:w="146"/>
        <w:gridCol w:w="211"/>
        <w:gridCol w:w="736"/>
        <w:gridCol w:w="166"/>
        <w:gridCol w:w="146"/>
        <w:gridCol w:w="211"/>
        <w:gridCol w:w="631"/>
        <w:gridCol w:w="5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(in thousands):</w:t>
      </w:r>
    </w:p>
    <w:p>
      <w:pPr>
        <w:pStyle w:val="TextBody"/>
        <w:bidi w:val="0"/>
        <w:jc w:val="both"/>
        <w:rPr/>
      </w:pPr>
      <w:r>
        <w:rPr/>
        <w:t> </w:t>
      </w:r>
    </w:p>
    <w:tbl>
      <w:tblPr>
        <w:tblW w:w="8625" w:type="dxa"/>
        <w:jc w:val="left"/>
        <w:tblInd w:w="0" w:type="dxa"/>
        <w:tblLayout w:type="fixed"/>
        <w:tblCellMar>
          <w:top w:w="28" w:type="dxa"/>
          <w:left w:w="28" w:type="dxa"/>
          <w:bottom w:w="28" w:type="dxa"/>
          <w:right w:w="28" w:type="dxa"/>
        </w:tblCellMar>
      </w:tblPr>
      <w:tblGrid>
        <w:gridCol w:w="4866"/>
        <w:gridCol w:w="146"/>
        <w:gridCol w:w="211"/>
        <w:gridCol w:w="677"/>
        <w:gridCol w:w="146"/>
        <w:gridCol w:w="146"/>
        <w:gridCol w:w="211"/>
        <w:gridCol w:w="677"/>
        <w:gridCol w:w="146"/>
        <w:gridCol w:w="146"/>
        <w:gridCol w:w="211"/>
        <w:gridCol w:w="631"/>
        <w:gridCol w:w="411"/>
      </w:tblGrid>
      <w:tr>
        <w:trPr/>
        <w:tc>
          <w:tcPr>
            <w:tcW w:w="4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research and development expenses by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ACR-368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ACR-2316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drug discovery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supplies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were $29.0 million for the six months ended June 30, 2026, compared to $31.6 million for the six months ended June 30, 2025. The decrease of $2.6 million was primarily due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$1.9 million net decrease in costs for the ACR-368 clinical trial and its related supporting activities, primarily due to milestone achievements recognized in 2025 that did not recur in 2026;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$0.2 million net decrease in costs related to the ACR-2316 clinical trial, primarily due to scheduled dose escalation activities throughout both periods;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$0.3 million net decrease in costs related to preclinical drug discovery activities, which are primarily comprised of activities related to our internally discovered development candidate targeting CDK11.</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were $9.6 million for the six months ended June 30, 2026, compared to $12.7 million for the six months ended June 30, 2025. The decrease of $3.1 million was primarily due to a decrease of $2.8 million in employee-related expenses including stock-based compensation expense.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Total Other Income,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Total other income, net was $1.6 million for the six months ended June 30, 2026, compared to total other income, net of $3.6 million for the six months ended June 30, 2025. The change of $2.0 million is primarily attributable to a decrease in interest income and accretion earned on our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our inception, we have not recognized any revenue and have incurred significant losses in each period and on an aggregate basis. We have not yet commercialized any drug candidates, and we do not expect to generate revenue from sales of any drug candidates or from other sources for several years, if at all. As of June 30, 2026, we had $90.0 million in cash, cash equivalents and investments, and we had an accumulated deficit of $311.9 million. We have funded our operations primarily with proceeds from the sales of shares of our convertible preferred stock, the issuance of convertible notes, our IPO and concurrent private placement, our April 2024 Private Placement, and our April 2026 ATM Program sale. We believe that our existing cash, cash equivalents and investments of $90.0 million as of June 30, 2026 will enable us to fund our operating expenses and capital expenditure requirements into the fourth quarter of 2027.</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cash flows for each of the periods presented (in thousands):</w:t>
      </w:r>
    </w:p>
    <w:tbl>
      <w:tblPr>
        <w:tblW w:w="8574" w:type="dxa"/>
        <w:jc w:val="left"/>
        <w:tblInd w:w="0" w:type="dxa"/>
        <w:tblLayout w:type="fixed"/>
        <w:tblCellMar>
          <w:top w:w="28" w:type="dxa"/>
          <w:left w:w="28" w:type="dxa"/>
          <w:bottom w:w="28" w:type="dxa"/>
          <w:right w:w="28" w:type="dxa"/>
        </w:tblCellMar>
      </w:tblPr>
      <w:tblGrid>
        <w:gridCol w:w="5811"/>
        <w:gridCol w:w="146"/>
        <w:gridCol w:w="211"/>
        <w:gridCol w:w="736"/>
        <w:gridCol w:w="166"/>
        <w:gridCol w:w="146"/>
        <w:gridCol w:w="211"/>
        <w:gridCol w:w="736"/>
        <w:gridCol w:w="41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38,665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Used in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used in operating activities was $35.4 million for the six months ended June 30, 2026, compared to net cash used in operating activities of $36.1 million for the six months ended June 30, 2025. The decrease in net cash used in operating activities of $0.7 million was primarily driven by a decrease in net loss of $3.7 million, partially offset by a decrease in non-cash stock-based compensation expense of $3.3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Provided by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provided by investing activities was $28.1 million for the six months ended June 30, 2026, resulting from $55.0 million in proceeds from maturities of investments, offset by purchases of investments of $26.8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provided by investing activities was $38.7 million for the six months ended June 30, 2025, resulting from $74.5 million in proceeds from maturities of investments, offset by purchases of investments of $35.3 million and purchases of property and equipment of $0.6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Net Cash Provided by (Used in)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cash provided by financing activities was $7.2 million for the six months ended June 30, 2026, resulting from approximately $7.3 million in gross proceeds from the issuance of common stock under the ATM offering, offset by $0.1 million of payments for tax withholdings related to the vesting of restricted stock units, or RSUs.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used in financing activities was $0.4 million for the six months ended June 30, 2025, resulting from $0.4 million of payments for tax withholdings related to the vesting of RSUs.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our cash, cash equivalents and investments were $90.0 million. We believe that our existing cash, cash equivalents and investments as of June 30, 2026 will enable us to fund our operating expenses and capital expenditure requirements into the fourth quarter of 2027. We have based this estimate on assumptions that may prove to be wrong, and we could expend our capital resources sooner than we expect.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expect to incur significant expenses and operating losses for the foreseeable future as we advance our drug candidates through clinical development, seek regulatory approval and pursue commercialization of any approved drug candidates. We expect that our research and development and general and administrative costs will increase in connection with our planned research and clinical activities and operating as a public company. If we receive regulatory approval for any of our drug candidates, we expect to incur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significant commercialization expenses related to drug manufacturing, sales, marketing and distribution, depending on where we choose to commercialize. We may also require additional capital to pursue in-licenses or acquisitions of other drug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Due to the numerous risks and uncertainties associated with research, development and commercialization of pharmaceutical drug candidates, we are unable to accurately predict the amount of our operating expenditures. Our future capital requirements will depend on many factors, including, but not limited to: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progress, results and costs of preclinical and clinical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future activities, including drug sales, medical affairs, marketing, manufacturing and distribution, for any drug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establishing and maintaining arrangements with third-party manufacturers for the commercial supply of products that receive marketing approval,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 of our products, should any drug candidates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cash requirements of any future in-licenses, acquisitions or discovery of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attracting, hiring and retaining skilled personnel to support our operations and continued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implementing operational, financial and management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and maintain collaborations, strategic partnerships or marketing, distribution, licensing or other strategic arrangements with third parties on favorable terms, if at all;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receipt and amount of sales of, or milestone payments related to or royalties on, current or future drug candidates, if 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outcome of any of these or other variables with respect to the development of ACR-368, the ACR-368 OncoSignature, ACR-2316, or any drug or development candidate we may develop in the future could significantly change the costs and timing associated with our development plans. Further, our operating plans may change in the future, and we may need additional funds to meet operational needs and capital requirements associated with such operating plans.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Until such time, if ever, as we can generate substantial drug revenues to support our expenses, we expect to finance our cash needs through a combination of equity offerings, debt financings, collaborations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drug candidates or grant licenses on terms that may not be favorable to us and/or may reduce the value of our common stock. If we are unable to raise additional funds through equity or debt financings when needed, we may be required to delay, limit, reduce or terminate our drug development or future commercialization efforts or grant rights to develop and market our drug candidates even if we would otherwise prefer to develop and market such drug candidates ourselves.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discussed in Note 12 to our unaudited condensed consolidated financial statements appearing elsewhere in this Quarterly Report, during the six months ended June 30, 2026, there were no material changes to our contractual obligations and commitments from those described in our Annual Report on Form 10-K for the year ended December 31, 2025, which was filed with the SEC on March 19, 2026.</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statements are prepared in accordance with generally accepted accounting principles in the United States. The preparation of our financial statements and related disclosures requires us to make estimates, assumptions and judgments that affect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reported amount of assets, liabilities, revenue, costs and expenses, and related disclosures. Our critical accounting policies are described under the heading “Management’s Discussion and Analysis of Financial Condition and Results of Operations—Critical Accounting Policies and Significant Judgments and Estimates” in our Annual Report on Form 10-K.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our Annual Report on Form 10-K.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results of operations and cash flows is disclosed in Note 2 to our unaudited condensed consolidated financial statements appearing elsewhere in this Quarterly Report.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Emerging Growth Company and Smaller Reporting Company Status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JOBS Act provides that, among other things,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As an emerging growth company, we have elected not to “opt out” of the extended transition period afforded by the JOBS Act for the implementation of new or revised accounting standards and, as a result, we will comply with new or revised accounting standards on the relevant dates on which adoption of such standards is required for private companies on a case-by-case basis until such time as we either (i) irrevocably elect to “opt out” of such extended transition period or (ii) no longer qualify as an emerging growth company. As a result, our consolidated financial statements may not be comparable to companies that comply with new or revised accounting pronouncements as of public company effective dates. We may choose to early adopt any new or revised accounting standards whenever such early adoption is permitted for private companies. We intend to rely on certain of the other exemptions and reduced reporting requirements provided by the JOBS Act. As an emerging growth company, we are not required to, among other things, (i) provide an auditor’s attestation report on our system of internal controls over financial reporting pursuant to Section 404(b), and (ii) comply with any requirement that may be adopted by the Public Company Accounting Oversight Board regarding a supplement to the auditor’s report providing additional information about the audit and the financial statements (auditor discussion and analysis).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remain an emerging growth company until the earlier to occur of (1) the last day of our fiscal year (a) following the fifth anniversary of the closing of our IPO, (b) in which we have total annual gross revenues of at least $1.235 billion or (c) in which we are deemed to be a “large accelerated filer” under the rules of the SEC, which means the market value of our common shares that is held by non-affiliates exceeds $700 million as of the last day of our second quarter, and (2) the date on which we have issued more than $1.0 billion in non-convertible debt during the prior three-year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1" w:name="quantitative_and_qualitative_disclosures"/>
      <w:bookmarkEnd w:id="11"/>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SEC rules and regulations, because we are considered to be a “smaller reporting company,” we are not required to provide the information required by this item in this report.</w:t>
      </w:r>
    </w:p>
    <w:p>
      <w:pPr>
        <w:pStyle w:val="TextBody"/>
        <w:bidi w:val="0"/>
        <w:spacing w:before="360" w:after="283"/>
        <w:jc w:val="left"/>
        <w:rPr>
          <w:rFonts w:ascii="Times New Roman" w:hAnsi="Times New Roman"/>
          <w:b/>
          <w:color w:val="000000"/>
          <w:sz w:val="20"/>
        </w:rPr>
      </w:pPr>
      <w:bookmarkStart w:id="12" w:name="controls_and_procedures"/>
      <w:bookmarkEnd w:id="12"/>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have evaluated the effectiveness of our disclosure controls and procedures (as defined in Rule 13a-15(e) and 15d-15(e) of the Exchange Act) as of the end of the period covered by this Quarterly Report on Form 10-Q. Based on that evaluation, our Chief Executive Officer and Chief Financial Officer have concluded that, as of June 30, 2026, our disclosure controls and procedures were effective at the reasonable assurance level.</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Limitations on Effectiveness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3" w:name="othe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b/>
          <w:color w:val="000000"/>
          <w:sz w:val="20"/>
        </w:rPr>
      </w:pPr>
      <w:bookmarkStart w:id="14" w:name="legal_proceedings"/>
      <w:bookmarkEnd w:id="14"/>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We are not currently subject to any material legal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risk_factors"/>
      <w:bookmarkEnd w:id="15"/>
      <w:r>
        <w:rPr>
          <w:rFonts w:ascii="Times New Roman" w:hAnsi="Times New Roman"/>
          <w:b/>
          <w:color w:val="000000"/>
          <w:sz w:val="20"/>
        </w:rPr>
        <w:t>Item 1A. Risk Factors.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Investing in our common stock involves a high degree of risk. Information regarding risk factors appears in “Part I, Item 1A. Risk Factors” of our 2025 Form 10-K. Except as otherwise described herein, there have been no material changes in our risk factors from those previously disclosed in our 2025 Form 10-K.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incurred significant losses since our inception. We expect to incur losses over the next several years and may never achieve or maintain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our inception, we have incurred significant losses, and we expect to continue to incur significant expenses and operating losses for the foreseeable future. Our net loss was $77.9 million for the year ended December 31, 2025 and $37.0 million and $40.7 million for the six months ended June 30, 2026 and 2025, respectively. As of June 30, 2026, we had an accumulated deficit of $311.9 million. Since our inception, we have financed our operations primarily with proceeds from the sales of shares of our convertible preferred stock and the issuance of convertible notes, proceeds raised in our IPO and concurrent private placement, proceeds from our April 2024 Private Placement, and proceeds from our April 2026 ATM Program sale. We have no products approved for commercialization and have never generated any revenue from product sales.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of our drug candidates are still in clinical and preclinical testing. We expect to continue to incur significant expenses and operating losses over the next several years. Our net losses may fluctuate significantly from quarter to quarter and year to year. We anticipate that our expenses will increase substantially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conduct our ongoing clinical trials of ACR-368 and ACR-2316, as well as initiate and complete additional clinical trials of future drug candidates or current drug candidates in new indications or patient populations;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continue to advance the preclinical development of our other drug candidates, and our preclinical and discovery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seek regulatory approval for any drug candidates that successfully complete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pursue marketing approvals and reimbursement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manufacture material under current good manufacturing practices, or cGMP, for clinical trials and potential commercial sales at our contracted manufacturing facilities;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 establish and validate our commercial-scale cGMP manufacturing process;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maintain, expand, enforce, defend and protect our intellectual property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comply with regulatory requirements established by the applicable regulatory authorities;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establish, either alone or with a third-party, a sales, marketing and distribution infrastructure and scale up external, or establish internal, manufacturing and distribution capabilities to commercialize any drug candidates for which we may obtain regulatory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hire and retain additional personnel, including research, clinical, development, manufacturing quality control, quality assurance, regulatory and scientific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 operational, financial, corporate development, management information systems and administrative personnel, including personnel to support our product development and planned future commercialization efforts;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incur additional legal, accounting and other expenses in operating as a public company.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not generated any revenue from the commercialization of any drug candidate. To become and remain profitable, we must succeed in developing and eventually commercializing drug candidates that generate significant revenue. This will require us to be successful in a range of challenging activities, including completing preclinical testing and clinical trials of our drug candidates, validating manufacturing processes, obtaining regulatory approval, and manufacturing, marketing, and selling any drug candidates for which we may obtain regulatory approval, as well as discovering and developing additional drug candidates. All of our drug candidates are in clinical or preclinical development. We may never succeed in these activities and, even if we do, may never generate any revenue or revenue that is significant enough to achieve profitability.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Due to the numerous risks and uncertainties associated with drug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drug candidates, our expenses could increase.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pStyle w:val="TextBody"/>
        <w:bidi w:val="0"/>
        <w:spacing w:before="360" w:after="283"/>
        <w:jc w:val="both"/>
        <w:rPr>
          <w:rFonts w:ascii="Times New Roman" w:hAnsi="Times New Roman"/>
          <w:sz w:val="20"/>
        </w:rPr>
      </w:pPr>
      <w:r>
        <w:rPr>
          <w:rFonts w:ascii="Times New Roman" w:hAnsi="Times New Roman"/>
          <w:b/>
          <w:i/>
          <w:color w:val="000000"/>
          <w:sz w:val="20"/>
        </w:rPr>
        <w:t>We will need additional funding to meet our financial obligations and to pursue our business objectives. If we are unable to raise capital when needed, we could be forced to curtail our planned longer-term operations and the pursuit of our growth strategy.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have consumed substantial amounts of cash since inception, and we expect to continue to incur significant expenses and operating losses over the next several years as we continue to develop our drug candidate pipeline and, to a lesser extent, build out our manufacturing capabilities for our drug candidates, which, if approved, may not achieve commercial success. Our revenue, if any, will be derived from sales of products that may not be commercially available for a number of years, if at all. If we obtain marketing approval for any drug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cash, cash equivalents and investments of $90.0 million. We believe that our existing cash, cash equivalents and investments as of June 30, 2026 will be sufficient to fund our operating expenses and capital expenditure requirements into the fourth quarter of 2027. This estimate is based on assumptions that may prove to be wrong, and we could exhaust our available capital resources sooner than we expect. Changes may occur beyond our control that would cause us to consume our available capital before that time, including changes in and progress of our development activities, acquisitions of additional drug candidates and changes in regulation. The timing and amount of our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rate of progress in the development of ACR-368, ACR-2316, and our other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progress, results and costs of non-clinical studies, preclinical development, laboratory testing and clinical trials for ACR-368, ACR-2316, and our future drug candidates and associated development programs;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extent to which we develop, in-license or acquire other drug candidates and technologies in our pipeline;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progress, results and costs as well as timing of process development and manufacturing scale-up and validation activities associated with ACR-368, ACR-2316, and our future drug candidates and other programs as we advance them through preclinical and clinical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our AP3 platform to identify sensitive tumor types and patient responders;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number and development requirements of drug candidates that we may pursue;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timing and outcome of regulatory review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headcount growth and associated costs as we expand our research and development capabilities and establish a commercial infrastructure;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timing and costs of securing sufficient capacity for commercial supply of our drug candidates, or the raw material components thereof;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marketing, sales and distribution, for any of our drug candidates for which we receive marketing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necessary to obtain regulatory approvals, if any, for products in the United States and other jurisdictions, and the costs of post-marketing studies that could be required by regulatory authorities in jurisdictions where approval is obtained;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continuation of our existing licensing and collaboration arrangements and entry into new collaborations and licensing arrangements, if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need and ability to hire additional research, clinical, development, scientific, and manufacturing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we incur in maintaining business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need to implement additional internal systems and infrastructure;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effect of competing technological, product and market developments;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revenue, if any, received from commercial sales of our drug candidates for which we receive marketing approval;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of operating as a public company;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business disruptions affecting the initiation, patient enrollment, development and operation of our clinical trials, including a public health emergency or geopolitical events, including the ongoing Russian invasion of Ukraine, related sanctions against Russia and conflicts in the Middle East.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drug candidates. Further, our ability to raise additional capital may be adversely impacted by potential worsening global economic conditions, such as new or increased tariffs and other barriers to trade, and the recent disruptions to and volatility in the credit and financial markets in the United States and worldwide resulting from geopolitical tensions, such as the ongoing Russian invasion of Ukraine and related sanctions against Russia and conflicts in the Middle East. If we are unable to raise sufficient additional capital, we could be forced to curtail our planned operations and the pursuit of our growth strategy.</w:t>
      </w:r>
    </w:p>
    <w:p>
      <w:pPr>
        <w:pStyle w:val="TextBody"/>
        <w:bidi w:val="0"/>
        <w:spacing w:before="360" w:after="283"/>
        <w:jc w:val="both"/>
        <w:rPr>
          <w:rFonts w:ascii="Times New Roman" w:hAnsi="Times New Roman"/>
          <w:sz w:val="20"/>
        </w:rPr>
      </w:pPr>
      <w:r>
        <w:rPr>
          <w:rFonts w:ascii="Times New Roman" w:hAnsi="Times New Roman"/>
          <w:b/>
          <w:i/>
          <w:color w:val="000000"/>
          <w:sz w:val="20"/>
        </w:rPr>
        <w:t>A significant portion of our total outstanding shares are restricted from immediate resale but may be sold into the market in the near future. This could cause the market price of our common stock to drop significantly, even if our business is doing well.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August 7, 2026, we had 42,853,362 shares of common stock outstanding. These shares include 7,550,000 shares sold in our IPO, which may be resold in the public market. As of August 7, 2026, approximately 20.8 million shares were held by our affiliates, who are generally restricted from selling pursuant to securities laws. Our shares may be resold and the market price of our stock could decline if the holders of currently-restricted shares sell them or are perceived by the market as intending to sell them.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filed registration statements on Form S-8 under the Securities Act registering shares subject to outstanding stock options issued under the 2019 Stock Incentive Plan and shares of common stock reserved for issuance under the 2022 Equity Incentive Plan, or the 2022 Plan, and the 2022 Employee Stock Purchase Plan, or the 2022 ESPP. Both the 2022 Plan and the 2022 ESPP provide for annual automatic increases in the shares reserved for issuance under the plans which could result in additional dilution to our stockholders. Shares registered under these registration statements on Form S-8 can be freely sold in the public market upon issuance, subject to the vesting of the equity awards, other restrictions provided under the terms of the applicable plan or equity award, and the restrictions of Rule 144 in the case of our affiliates. We also filed a registration statement on Form S-3, or the Registration Statement, which was declared effective by the SEC on April 29, 2024, covering the resale by selling stockholders who participated in the April 2024 Private Placement of 8,235,000 shares of our common stock and 7,060,000 shares of our common stock issuable upon the exercise of pre-funded warrants, or Pre-Funded Warrants. Pursuant to the Registration Statement, these selling stockholders may resell all or a portion of the shares of common stock issued in the April 2024 Private Placement and the shares issued upon exercise of the Pre-Funded Warrants.</w:t>
      </w:r>
    </w:p>
    <w:p>
      <w:pPr>
        <w:pStyle w:val="TextBody"/>
        <w:bidi w:val="0"/>
        <w:spacing w:before="360" w:after="283"/>
        <w:jc w:val="left"/>
        <w:rPr>
          <w:rFonts w:ascii="Times New Roman" w:hAnsi="Times New Roman"/>
          <w:b/>
          <w:color w:val="000000"/>
          <w:sz w:val="20"/>
        </w:rPr>
      </w:pPr>
      <w:bookmarkStart w:id="16" w:name="unregistered_sales_of_equity"/>
      <w:bookmarkEnd w:id="16"/>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(a) 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 Use of Proceeds from Public Offering of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offer and sale of shares of our common stock in our IPO were registered under the Securities Act pursuant to a Registration Statement on Form S-1 (File No. 333-267911), which was declared effective by the SEC on November 9, 2022. There has been no material change in the planned use of proceeds from our IPO as described in our final prospectus filed with the SEC pursuant to Rule 424(b)(4) under the Securities Act on November 16, 2022. As of the date of this Quarterly Report, we have used all of the proceeds from the IPO.</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 Issuer 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7" w:name="item3defaults_upon_senior_securities"/>
      <w:bookmarkEnd w:id="17"/>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8" w:name="item4_mine_safety_disclosures"/>
      <w:bookmarkEnd w:id="18"/>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5_other_information"/>
      <w:bookmarkEnd w:id="19"/>
      <w:r>
        <w:rPr>
          <w:rFonts w:ascii="Times New Roman" w:hAnsi="Times New Roman"/>
          <w:b/>
          <w:color w:val="000000"/>
          <w:sz w:val="20"/>
        </w:rPr>
        <w:t>Item 5. Other Information.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Rule 10b5-1 Trading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date of this Quarterly Report, none of our directors or executive officers maintains an active Rule 10b5-1 trading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1"/>
        <w:gridCol w:w="146"/>
        <w:gridCol w:w="9288"/>
      </w:tblGrid>
      <w:tr>
        <w:trPr/>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8" w:type="dxa"/>
            <w:tcBorders/>
            <w:vAlign w:val="center"/>
          </w:tcPr>
          <w:p>
            <w:pPr>
              <w:pStyle w:val="TableContents"/>
              <w:bidi w:val="0"/>
              <w:spacing w:before="0" w:after="283"/>
              <w:jc w:val="left"/>
              <w:rPr>
                <w:sz w:val="4"/>
                <w:szCs w:val="4"/>
              </w:rPr>
            </w:pPr>
            <w:r>
              <w:rPr>
                <w:sz w:val="4"/>
                <w:szCs w:val="4"/>
              </w:rPr>
            </w:r>
          </w:p>
        </w:tc>
      </w:tr>
      <w:tr>
        <w:trPr/>
        <w:tc>
          <w:tcPr>
            <w:tcW w:w="77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Acrivon Therapeutics, Inc. Amended and Restated 2022 Equity Incentive Plan (incorporated by reference to Exhibit 10.1 to the Company’s Current Report on Form 8-K filed with the Securities and Exchange Commission on June 17, 2026).</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crv-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crv-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crv-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crv-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26"/>
        <w:gridCol w:w="9979"/>
      </w:tblGrid>
      <w:tr>
        <w:trPr/>
        <w:tc>
          <w:tcPr>
            <w:tcW w:w="226" w:type="dxa"/>
            <w:tcBorders/>
            <w:vAlign w:val="center"/>
          </w:tcPr>
          <w:p>
            <w:pPr>
              <w:pStyle w:val="TableContents"/>
              <w:bidi w:val="0"/>
              <w:spacing w:before="0" w:after="283"/>
              <w:jc w:val="left"/>
              <w:rPr>
                <w:sz w:val="4"/>
                <w:szCs w:val="4"/>
              </w:rPr>
            </w:pPr>
            <w:r>
              <w:rPr>
                <w:sz w:val="4"/>
                <w:szCs w:val="4"/>
              </w:rPr>
            </w:r>
          </w:p>
        </w:tc>
        <w:tc>
          <w:tcPr>
            <w:tcW w:w="9979"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7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This certification is being furnished solely to accompany this Quarterly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12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834" w:type="dxa"/>
        <w:jc w:val="left"/>
        <w:tblInd w:w="0" w:type="dxa"/>
        <w:tblLayout w:type="fixed"/>
        <w:tblCellMar>
          <w:top w:w="28" w:type="dxa"/>
          <w:left w:w="28" w:type="dxa"/>
          <w:bottom w:w="28" w:type="dxa"/>
          <w:right w:w="28" w:type="dxa"/>
        </w:tblCellMar>
      </w:tblPr>
      <w:tblGrid>
        <w:gridCol w:w="1951"/>
        <w:gridCol w:w="146"/>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Acrivon Therapeutics,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Blume-Jensen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Blume-Jensen,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President</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4942" w:type="dxa"/>
        <w:jc w:val="left"/>
        <w:tblInd w:w="0" w:type="dxa"/>
        <w:tblLayout w:type="fixed"/>
        <w:tblCellMar>
          <w:top w:w="28" w:type="dxa"/>
          <w:left w:w="28" w:type="dxa"/>
          <w:bottom w:w="28" w:type="dxa"/>
          <w:right w:w="28" w:type="dxa"/>
        </w:tblCellMar>
      </w:tblPr>
      <w:tblGrid>
        <w:gridCol w:w="1951"/>
        <w:gridCol w:w="109"/>
        <w:gridCol w:w="406"/>
        <w:gridCol w:w="247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Adam Levy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Adam Levy, Ph.D., M.B.A.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(Principal Financial Officer)</w:t>
            </w:r>
          </w:p>
        </w:tc>
      </w:tr>
      <w:tr>
        <w:trPr/>
        <w:tc>
          <w:tcPr>
            <w:tcW w:w="4942"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2" w:name="acrv-ex31_1.htm"/>
      <w:bookmarkStart w:id="23" w:name="ksacrvex31_1"/>
      <w:bookmarkEnd w:id="22"/>
      <w:bookmarkEnd w:id="2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Peter Blume-Jensen,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Acrivon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797" w:type="dxa"/>
        <w:jc w:val="left"/>
        <w:tblInd w:w="0" w:type="dxa"/>
        <w:tblLayout w:type="fixed"/>
        <w:tblCellMar>
          <w:top w:w="28" w:type="dxa"/>
          <w:left w:w="28" w:type="dxa"/>
          <w:bottom w:w="28" w:type="dxa"/>
          <w:right w:w="28" w:type="dxa"/>
        </w:tblCellMar>
      </w:tblPr>
      <w:tblGrid>
        <w:gridCol w:w="1951"/>
        <w:gridCol w:w="109"/>
        <w:gridCol w:w="406"/>
        <w:gridCol w:w="3331"/>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Blume-Jensen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Blume-Jensen, M.D.,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President</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acrv-ex31_2.htm"/>
      <w:bookmarkStart w:id="25" w:name="ksacrvex31_2"/>
      <w:bookmarkEnd w:id="24"/>
      <w:bookmarkEnd w:id="2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Adam Levy,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Acrivon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859" w:type="dxa"/>
        <w:jc w:val="left"/>
        <w:tblInd w:w="0" w:type="dxa"/>
        <w:tblLayout w:type="fixed"/>
        <w:tblCellMar>
          <w:top w:w="28" w:type="dxa"/>
          <w:left w:w="28" w:type="dxa"/>
          <w:bottom w:w="28" w:type="dxa"/>
          <w:right w:w="28" w:type="dxa"/>
        </w:tblCellMar>
      </w:tblPr>
      <w:tblGrid>
        <w:gridCol w:w="1951"/>
        <w:gridCol w:w="146"/>
        <w:gridCol w:w="406"/>
        <w:gridCol w:w="235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Adam Levy</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Adam Levy, Ph.D., M.B.A.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acrv-ex32_1.htm"/>
      <w:bookmarkStart w:id="27" w:name="ksacrvex32_1"/>
      <w:bookmarkEnd w:id="26"/>
      <w:bookmarkEnd w:id="27"/>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( 18 U.S.C. § 1350), Peter Blume-Jensen, Chief Executive Officer of Acrivon Therapeutics, Inc. (the “Company”)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12, 2026</w:t>
      </w:r>
    </w:p>
    <w:p>
      <w:pPr>
        <w:pStyle w:val="TextBody"/>
        <w:bidi w:val="0"/>
        <w:spacing w:before="240" w:after="283"/>
        <w:jc w:val="left"/>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has set his hands hereto as of the 12th day of August 2026.</w:t>
      </w:r>
    </w:p>
    <w:p>
      <w:pPr>
        <w:pStyle w:val="TextBody"/>
        <w:bidi w:val="0"/>
        <w:jc w:val="left"/>
        <w:rPr/>
      </w:pPr>
      <w:r>
        <w:rPr/>
        <w:t> </w:t>
      </w:r>
    </w:p>
    <w:tbl>
      <w:tblPr>
        <w:tblW w:w="4007" w:type="dxa"/>
        <w:jc w:val="left"/>
        <w:tblInd w:w="0" w:type="dxa"/>
        <w:tblLayout w:type="fixed"/>
        <w:tblCellMar>
          <w:top w:w="28" w:type="dxa"/>
          <w:left w:w="28" w:type="dxa"/>
          <w:bottom w:w="28" w:type="dxa"/>
          <w:right w:w="28" w:type="dxa"/>
        </w:tblCellMar>
      </w:tblPr>
      <w:tblGrid>
        <w:gridCol w:w="161"/>
        <w:gridCol w:w="109"/>
        <w:gridCol w:w="406"/>
        <w:gridCol w:w="333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Blume-Jensen</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Blume-Jensen, M.D., Ph.D.</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President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Acrivon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acrv-ex32_2.htm"/>
      <w:bookmarkStart w:id="29" w:name="ksacrvex32_2"/>
      <w:bookmarkEnd w:id="28"/>
      <w:bookmarkEnd w:id="29"/>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( 18 U.S.C. § 1350), Adam Levy, Chief Financial Officer of Acrivon Therapeutics, Inc. (the “Company”)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32.2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12, 2026</w:t>
      </w:r>
    </w:p>
    <w:p>
      <w:pPr>
        <w:pStyle w:val="TextBody"/>
        <w:bidi w:val="0"/>
        <w:spacing w:before="240" w:after="283"/>
        <w:jc w:val="left"/>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has set his hands hereto as of the 12th day of August 2026.</w:t>
      </w:r>
    </w:p>
    <w:p>
      <w:pPr>
        <w:pStyle w:val="TextBody"/>
        <w:bidi w:val="0"/>
        <w:jc w:val="left"/>
        <w:rPr/>
      </w:pPr>
      <w:r>
        <w:rPr/>
        <w:t> </w:t>
      </w:r>
    </w:p>
    <w:tbl>
      <w:tblPr>
        <w:tblW w:w="3032" w:type="dxa"/>
        <w:jc w:val="left"/>
        <w:tblInd w:w="0" w:type="dxa"/>
        <w:tblLayout w:type="fixed"/>
        <w:tblCellMar>
          <w:top w:w="28" w:type="dxa"/>
          <w:left w:w="28" w:type="dxa"/>
          <w:bottom w:w="28" w:type="dxa"/>
          <w:right w:w="28" w:type="dxa"/>
        </w:tblCellMar>
      </w:tblPr>
      <w:tblGrid>
        <w:gridCol w:w="161"/>
        <w:gridCol w:w="109"/>
        <w:gridCol w:w="406"/>
        <w:gridCol w:w="235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3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Adam Levy</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Adam Levy, Ph.D., M.B.A.</w:t>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Acrivon Therapeutics,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1174/000119312526274410/acrv-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19016</Words>
  <Characters>105856</Characters>
  <CharactersWithSpaces>125343</CharactersWithSpaces>
  <Paragraphs>4143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