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SCHEDULE 14A</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194"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9"/>
          <w:szCs w:val="19"/>
          <w:color w:val="auto"/>
        </w:rPr>
        <w:t>Proxy Statement Pursuant to Section 14(a) of the Securities Exchange Act of 1934 (Amendment No. 1)</w:t>
      </w:r>
    </w:p>
    <w:p>
      <w:pPr>
        <w:spacing w:after="0" w:line="195"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0"/>
          <w:szCs w:val="20"/>
          <w:color w:val="auto"/>
        </w:rPr>
        <w:t>☒</w:t>
      </w:r>
    </w:p>
    <w:p>
      <w:pPr>
        <w:spacing w:after="0" w:line="73"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Preliminary Proxy Statement</w:t>
      </w:r>
    </w:p>
    <w:p>
      <w:pPr>
        <w:spacing w:after="0" w:line="2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Confidential, for Use of the Commission Only (as permitted by Rule 14a-6(e)(2))</w:t>
      </w:r>
    </w:p>
    <w:p>
      <w:pPr>
        <w:spacing w:after="0" w:line="13"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Proxy Statement</w:t>
      </w:r>
    </w:p>
    <w:p>
      <w:pPr>
        <w:spacing w:after="0" w:line="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Additional Materials</w:t>
      </w:r>
    </w:p>
    <w:p>
      <w:pPr>
        <w:spacing w:after="0" w:line="13"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296545</wp:posOffset>
            </wp:positionV>
            <wp:extent cx="1834515"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345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Acrivon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(Name of Registrant as Specified In Its Charter)</w:t>
      </w:r>
    </w:p>
    <w:p>
      <w:pPr>
        <w:spacing w:after="0" w:line="27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20"/>
          <w:szCs w:val="20"/>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28" w:lineRule="exact"/>
        <w:rPr>
          <w:sz w:val="24"/>
          <w:szCs w:val="24"/>
          <w:color w:val="auto"/>
        </w:rPr>
      </w:pPr>
    </w:p>
    <w:p>
      <w:pPr>
        <w:ind w:left="360" w:hanging="352"/>
        <w:spacing w:after="0"/>
        <w:tabs>
          <w:tab w:leader="none" w:pos="360" w:val="left"/>
        </w:tabs>
        <w:numPr>
          <w:ilvl w:val="0"/>
          <w:numId w:val="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13" w:lineRule="exact"/>
        <w:rPr>
          <w:sz w:val="24"/>
          <w:szCs w:val="24"/>
          <w:color w:val="auto"/>
        </w:rPr>
      </w:pPr>
    </w:p>
    <w:p>
      <w:pPr>
        <w:ind w:left="360" w:hanging="352"/>
        <w:spacing w:after="0"/>
        <w:tabs>
          <w:tab w:leader="none" w:pos="36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20" w:lineRule="exact"/>
        <w:rPr>
          <w:rFonts w:ascii="MS PGothic" w:cs="MS PGothic" w:eastAsia="MS PGothic" w:hAnsi="MS PGothic"/>
          <w:sz w:val="20"/>
          <w:szCs w:val="20"/>
          <w:color w:val="auto"/>
        </w:rPr>
      </w:pPr>
    </w:p>
    <w:p>
      <w:pPr>
        <w:ind w:left="360" w:hanging="352"/>
        <w:spacing w:after="0"/>
        <w:tabs>
          <w:tab w:leader="none" w:pos="360" w:val="left"/>
        </w:tabs>
        <w:numPr>
          <w:ilvl w:val="0"/>
          <w:numId w:val="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1162050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color w:val="auto"/>
        </w:rPr>
        <w:t>EXPLANATORY NOTE</w:t>
      </w:r>
    </w:p>
    <w:p>
      <w:pPr>
        <w:spacing w:after="0" w:line="2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proxy statement supplement (this “Supplement”) supplements and amends the definitive Proxy Statement on Schedule 14A filed with the Securities and Exchange Commission by Acrivon Therapeutics, Inc. (the “Company”) on April 30, 2026 (the “Proxy Statement”) related to the Company’s 2026 Annual Meeting of Stockholders (the “Annual Meeting”), to be held on Wednesday, June 17, 2026, at 1:00 PM Eastern Time, virtually at https://www.proxypush.com/ACRV.</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Supplement amends the Proxy Statement and proxy card to add a new Proposal 3 seeking stockholder approval of the Amended and Restated 2022 Equity Incentive Plan (the “Amended and Restated 2022 Plan”). The Amended and Restated 2022 Plan increases the number of shares currently available for issuance under the Acrivon Therapeutics, Inc. 2022 Equity Incentive Plan by 3,000,000 shares, amends the evergreen provision to provide that the annual increase will be determined based on our outstanding shares calculated on a fully diluted basis (including outstanding pre-funded warrants), and makes certain other conforming changes to allow us to continue to attract, motivate, reward and retain a talented team in a highly competitive industry.</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Approval of the Amended and Restated 2022 Plan requires the affirmative vote of the majority of the votes cast on the matter. You may vote “FOR,” “AGAINST,” or “ABSTAIN” on Proposal 3. Abstentions will be counted for purposes of establishing a quorum but will not have any impact on the voting results of Proposal 3. Broker non-votes will not have any impact on the voting results of Proposal 3.</w:t>
      </w:r>
    </w:p>
    <w:p>
      <w:pPr>
        <w:spacing w:after="0" w:line="1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If you are a stockholder of record and you properly sign and return a proxy card, your shares will be voted as you direct. If no instructions are indicated on such proxy card and you are a stockholder of record, shares represented by the proxy will be voted in the manner recommended by the Board of Directors on all matters presented in this Proxy Statement, namely “FOR” the approval of the Amended and Restated 2022 Plan.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are a beneficial owner who holds your shares in street name, you have the right to direct your broker on how to vote the shares held in your account. You should follow the instructions in the voting instructions provided to you by that organization to vote your shares or direct the organization on how to vote your shares.</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Except for the new Proposal 3, the amended Notice of Annual Meeting and the amended proxy card, this Supplement does not otherwise modify or update any other disclosures presented in the Proxy Statement. This Supplement should be reviewed in conjunction with the Proxy Statement and, from and after the date of this Supplement, any references to the “Proxy Statement” shall be deemed to include the Proxy Statement as amended by this Supplement. In addition, this Supplement does not reflect events occurring after the date of the Proxy Statement or modify or update disclosures that may have been affected by subsequent events. All capitalized terms used but not otherwise defined herein have the meanings ascribed to such terms in the Proxy Statement.</w:t>
      </w:r>
    </w:p>
    <w:p>
      <w:pPr>
        <w:spacing w:after="0" w:line="18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The amended proxy card differs from the original proxy card previously furnished to you in that the amended proxy card includes new Proposal 3. </w:t>
      </w:r>
      <w:r>
        <w:rPr>
          <w:rFonts w:ascii="Times New Roman" w:cs="Times New Roman" w:eastAsia="Times New Roman" w:hAnsi="Times New Roman"/>
          <w:sz w:val="20"/>
          <w:szCs w:val="20"/>
          <w:b w:val="1"/>
          <w:bCs w:val="1"/>
          <w:color w:val="auto"/>
        </w:rPr>
        <w:t>If you have already voted, we encourage you to resubmit your vote on all proposals by submitting the amended proxy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card or by submitting a proxy via telephone or the Internet by following the instructions included in the Proxy Statement and the procedures in your amended proxy card. </w:t>
      </w:r>
      <w:r>
        <w:rPr>
          <w:rFonts w:ascii="Times New Roman" w:cs="Times New Roman" w:eastAsia="Times New Roman" w:hAnsi="Times New Roman"/>
          <w:sz w:val="20"/>
          <w:szCs w:val="20"/>
          <w:color w:val="auto"/>
        </w:rPr>
        <w:t>However, if you return or have returned an original proxy card and do not resubmit your vote,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your original proxy will remain valid for all other proposals and will be voted at the Annual Meeting unless revoked. </w:t>
      </w:r>
      <w:r>
        <w:rPr>
          <w:rFonts w:ascii="Times New Roman" w:cs="Times New Roman" w:eastAsia="Times New Roman" w:hAnsi="Times New Roman"/>
          <w:sz w:val="20"/>
          <w:szCs w:val="20"/>
          <w:b w:val="1"/>
          <w:bCs w:val="1"/>
          <w:color w:val="auto"/>
        </w:rPr>
        <w:t>PLEASE NOTE</w:t>
      </w: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THAT IF YOU SUBMIT AN AMENDED PROXY CARD IT WILL REVOKE ALL PRIOR PROXY CARDS SO IT IS IMPORTANT TO INDICATE YOUR VOTE ON EACH PROPOSAL ON THE AMENDED PROXY CARD.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This Supplement, the amended Notice of Annual Meeting and amended proxy card will be mailed to stockholders on or about 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1037590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2856865</wp:posOffset>
            </wp:positionH>
            <wp:positionV relativeFrom="page">
              <wp:posOffset>911860</wp:posOffset>
            </wp:positionV>
            <wp:extent cx="18345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8345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Acrivon Therapeutics,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480 Arsenal Way, Suite 100</w:t>
      </w:r>
    </w:p>
    <w:p>
      <w:pPr>
        <w:jc w:val="center"/>
        <w:spacing w:after="0"/>
        <w:rPr>
          <w:sz w:val="20"/>
          <w:szCs w:val="20"/>
          <w:color w:val="auto"/>
        </w:rPr>
      </w:pPr>
      <w:r>
        <w:rPr>
          <w:rFonts w:ascii="Times New Roman" w:cs="Times New Roman" w:eastAsia="Times New Roman" w:hAnsi="Times New Roman"/>
          <w:sz w:val="20"/>
          <w:szCs w:val="20"/>
          <w:b w:val="1"/>
          <w:bCs w:val="1"/>
          <w:color w:val="auto"/>
        </w:rPr>
        <w:t>Watertown, Massachusetts 02472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NOTICE OF ANNUAL MEETING OF STOCKHOLDERS</w:t>
      </w:r>
    </w:p>
    <w:p>
      <w:pPr>
        <w:spacing w:after="0" w:line="249" w:lineRule="exact"/>
        <w:rPr>
          <w:sz w:val="20"/>
          <w:szCs w:val="20"/>
          <w:color w:val="auto"/>
        </w:rPr>
      </w:pPr>
    </w:p>
    <w:tbl>
      <w:tblPr>
        <w:tblLayout w:type="fixed"/>
        <w:tblInd w:w="10" w:type="dxa"/>
        <w:tblCellMar>
          <w:top w:w="0" w:type="dxa"/>
          <w:left w:w="0" w:type="dxa"/>
          <w:bottom w:w="0" w:type="dxa"/>
          <w:right w:w="0" w:type="dxa"/>
        </w:tblCellMar>
      </w:tblPr>
      <w:tr>
        <w:trPr>
          <w:trHeight w:val="378"/>
        </w:trPr>
        <w:tc>
          <w:tcPr>
            <w:tcW w:w="1160" w:type="dxa"/>
            <w:vAlign w:val="bottom"/>
            <w:tcBorders>
              <w:top w:val="single" w:sz="8" w:color="004B8F"/>
              <w:left w:val="single" w:sz="8" w:color="004B8F"/>
            </w:tcBorders>
          </w:tcPr>
          <w:p>
            <w:pPr>
              <w:ind w:left="320"/>
              <w:spacing w:after="0"/>
              <w:rPr>
                <w:sz w:val="20"/>
                <w:szCs w:val="20"/>
                <w:color w:val="auto"/>
              </w:rPr>
            </w:pPr>
            <w:r>
              <w:rPr>
                <w:rFonts w:ascii="Times New Roman" w:cs="Times New Roman" w:eastAsia="Times New Roman" w:hAnsi="Times New Roman"/>
                <w:sz w:val="20"/>
                <w:szCs w:val="20"/>
                <w:b w:val="1"/>
                <w:bCs w:val="1"/>
                <w:color w:val="231F20"/>
              </w:rPr>
              <w:t>Date:</w:t>
            </w:r>
          </w:p>
        </w:tc>
        <w:tc>
          <w:tcPr>
            <w:tcW w:w="1740" w:type="dxa"/>
            <w:vAlign w:val="bottom"/>
            <w:tcBorders>
              <w:top w:val="single" w:sz="8" w:color="004B8F"/>
            </w:tcBorders>
          </w:tcPr>
          <w:p>
            <w:pPr>
              <w:ind w:left="340"/>
              <w:spacing w:after="0"/>
              <w:rPr>
                <w:sz w:val="20"/>
                <w:szCs w:val="20"/>
                <w:color w:val="auto"/>
              </w:rPr>
            </w:pPr>
            <w:r>
              <w:rPr>
                <w:rFonts w:ascii="Times New Roman" w:cs="Times New Roman" w:eastAsia="Times New Roman" w:hAnsi="Times New Roman"/>
                <w:sz w:val="20"/>
                <w:szCs w:val="20"/>
                <w:b w:val="1"/>
                <w:bCs w:val="1"/>
                <w:color w:val="004B8F"/>
              </w:rPr>
              <w:t>June 17, 2026</w:t>
            </w:r>
          </w:p>
        </w:tc>
        <w:tc>
          <w:tcPr>
            <w:tcW w:w="1980" w:type="dxa"/>
            <w:vAlign w:val="bottom"/>
            <w:tcBorders>
              <w:top w:val="single" w:sz="8" w:color="004B8F"/>
            </w:tcBorders>
          </w:tcPr>
          <w:p>
            <w:pPr>
              <w:ind w:left="240"/>
              <w:spacing w:after="0"/>
              <w:rPr>
                <w:sz w:val="20"/>
                <w:szCs w:val="20"/>
                <w:color w:val="auto"/>
              </w:rPr>
            </w:pPr>
            <w:r>
              <w:rPr>
                <w:rFonts w:ascii="Times New Roman" w:cs="Times New Roman" w:eastAsia="Times New Roman" w:hAnsi="Times New Roman"/>
                <w:sz w:val="20"/>
                <w:szCs w:val="20"/>
                <w:b w:val="1"/>
                <w:bCs w:val="1"/>
                <w:color w:val="231F20"/>
              </w:rPr>
              <w:t>Record Date:</w:t>
            </w:r>
          </w:p>
        </w:tc>
        <w:tc>
          <w:tcPr>
            <w:tcW w:w="6360" w:type="dxa"/>
            <w:vAlign w:val="bottom"/>
            <w:tcBorders>
              <w:top w:val="single" w:sz="8" w:color="004B8F"/>
              <w:right w:val="single" w:sz="8" w:color="004B8F"/>
            </w:tcBorders>
          </w:tcPr>
          <w:p>
            <w:pPr>
              <w:ind w:left="260"/>
              <w:spacing w:after="0"/>
              <w:rPr>
                <w:sz w:val="20"/>
                <w:szCs w:val="20"/>
                <w:color w:val="auto"/>
              </w:rPr>
            </w:pPr>
            <w:r>
              <w:rPr>
                <w:rFonts w:ascii="Times New Roman" w:cs="Times New Roman" w:eastAsia="Times New Roman" w:hAnsi="Times New Roman"/>
                <w:sz w:val="20"/>
                <w:szCs w:val="20"/>
                <w:b w:val="1"/>
                <w:bCs w:val="1"/>
                <w:color w:val="004B8F"/>
              </w:rPr>
              <w:t>April 23, 2026</w:t>
            </w:r>
          </w:p>
        </w:tc>
      </w:tr>
      <w:tr>
        <w:trPr>
          <w:trHeight w:val="262"/>
        </w:trPr>
        <w:tc>
          <w:tcPr>
            <w:tcW w:w="1160" w:type="dxa"/>
            <w:vAlign w:val="bottom"/>
            <w:tcBorders>
              <w:left w:val="single" w:sz="8" w:color="004B8F"/>
            </w:tcBorders>
          </w:tcPr>
          <w:p>
            <w:pPr>
              <w:ind w:left="300"/>
              <w:spacing w:after="0"/>
              <w:rPr>
                <w:sz w:val="20"/>
                <w:szCs w:val="20"/>
                <w:color w:val="auto"/>
              </w:rPr>
            </w:pPr>
            <w:r>
              <w:rPr>
                <w:rFonts w:ascii="Times New Roman" w:cs="Times New Roman" w:eastAsia="Times New Roman" w:hAnsi="Times New Roman"/>
                <w:sz w:val="20"/>
                <w:szCs w:val="20"/>
                <w:b w:val="1"/>
                <w:bCs w:val="1"/>
                <w:color w:val="231F20"/>
              </w:rPr>
              <w:t>Time:</w:t>
            </w:r>
          </w:p>
        </w:tc>
        <w:tc>
          <w:tcPr>
            <w:tcW w:w="174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004B8F"/>
              </w:rPr>
              <w:t>1:00 PM EST</w:t>
            </w:r>
          </w:p>
        </w:tc>
        <w:tc>
          <w:tcPr>
            <w:tcW w:w="198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231F20"/>
              </w:rPr>
              <w:t>Meeting Website:</w:t>
            </w:r>
          </w:p>
        </w:tc>
        <w:tc>
          <w:tcPr>
            <w:tcW w:w="6360" w:type="dxa"/>
            <w:vAlign w:val="bottom"/>
            <w:tcBorders>
              <w:right w:val="single" w:sz="8" w:color="004B8F"/>
            </w:tcBorders>
          </w:tcPr>
          <w:p>
            <w:pPr>
              <w:ind w:left="260"/>
              <w:spacing w:after="0"/>
              <w:rPr>
                <w:sz w:val="20"/>
                <w:szCs w:val="20"/>
                <w:color w:val="auto"/>
              </w:rPr>
            </w:pPr>
            <w:r>
              <w:rPr>
                <w:rFonts w:ascii="Times New Roman" w:cs="Times New Roman" w:eastAsia="Times New Roman" w:hAnsi="Times New Roman"/>
                <w:sz w:val="20"/>
                <w:szCs w:val="20"/>
                <w:color w:val="auto"/>
              </w:rPr>
              <w:t>https://www.proxypush.com/ACRV</w:t>
            </w:r>
          </w:p>
        </w:tc>
      </w:tr>
      <w:tr>
        <w:trPr>
          <w:trHeight w:val="55"/>
        </w:trPr>
        <w:tc>
          <w:tcPr>
            <w:tcW w:w="1160" w:type="dxa"/>
            <w:vAlign w:val="bottom"/>
            <w:tcBorders>
              <w:left w:val="single" w:sz="8" w:color="004B8F"/>
              <w:bottom w:val="single" w:sz="8" w:color="004B8F"/>
            </w:tcBorders>
          </w:tcPr>
          <w:p>
            <w:pPr>
              <w:spacing w:after="0"/>
              <w:rPr>
                <w:sz w:val="4"/>
                <w:szCs w:val="4"/>
                <w:color w:val="auto"/>
              </w:rPr>
            </w:pPr>
          </w:p>
        </w:tc>
        <w:tc>
          <w:tcPr>
            <w:tcW w:w="1740" w:type="dxa"/>
            <w:vAlign w:val="bottom"/>
            <w:tcBorders>
              <w:bottom w:val="single" w:sz="8" w:color="004B8F"/>
            </w:tcBorders>
          </w:tcPr>
          <w:p>
            <w:pPr>
              <w:spacing w:after="0"/>
              <w:rPr>
                <w:sz w:val="4"/>
                <w:szCs w:val="4"/>
                <w:color w:val="auto"/>
              </w:rPr>
            </w:pPr>
          </w:p>
        </w:tc>
        <w:tc>
          <w:tcPr>
            <w:tcW w:w="1980" w:type="dxa"/>
            <w:vAlign w:val="bottom"/>
            <w:tcBorders>
              <w:bottom w:val="single" w:sz="8" w:color="004B8F"/>
            </w:tcBorders>
          </w:tcPr>
          <w:p>
            <w:pPr>
              <w:spacing w:after="0"/>
              <w:rPr>
                <w:sz w:val="4"/>
                <w:szCs w:val="4"/>
                <w:color w:val="auto"/>
              </w:rPr>
            </w:pPr>
          </w:p>
        </w:tc>
        <w:tc>
          <w:tcPr>
            <w:tcW w:w="6360" w:type="dxa"/>
            <w:vAlign w:val="bottom"/>
            <w:tcBorders>
              <w:bottom w:val="single" w:sz="8" w:color="004B8F"/>
              <w:right w:val="single" w:sz="8" w:color="004B8F"/>
            </w:tcBorders>
          </w:tcPr>
          <w:p>
            <w:pPr>
              <w:spacing w:after="0"/>
              <w:rPr>
                <w:sz w:val="4"/>
                <w:szCs w:val="4"/>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the Stockholders of Acrivon Therapeutics, Inc.:</w:t>
      </w:r>
    </w:p>
    <w:p>
      <w:pPr>
        <w:spacing w:after="0" w:line="220" w:lineRule="exact"/>
        <w:rPr>
          <w:sz w:val="20"/>
          <w:szCs w:val="20"/>
          <w:color w:val="auto"/>
        </w:rPr>
      </w:pPr>
    </w:p>
    <w:p>
      <w:pPr>
        <w:jc w:val="both"/>
        <w:ind w:firstLine="374"/>
        <w:spacing w:after="0" w:line="246" w:lineRule="auto"/>
        <w:rPr>
          <w:sz w:val="20"/>
          <w:szCs w:val="20"/>
          <w:color w:val="auto"/>
        </w:rPr>
      </w:pPr>
      <w:r>
        <w:rPr>
          <w:rFonts w:ascii="Times New Roman" w:cs="Times New Roman" w:eastAsia="Times New Roman" w:hAnsi="Times New Roman"/>
          <w:sz w:val="20"/>
          <w:szCs w:val="20"/>
          <w:color w:val="auto"/>
        </w:rPr>
        <w:t>We will hold the 2026 Annual Meeting of Stockholders (the “Annual Meeting”) of Acrivon Therapeutics, Inc. on June 17, 2026, 1:00 PM Eastern Time as a virtual meeting held entirely over the Internet. You will be able to attend the Annual Meeting, vote your shares electronically and submit your questions online by visiting https://www.proxypush.com/ACRV and entering your individual control number included in the notice regarding the Internet availability of proxy materials (the “Notice”), or on your proxy card, or in the voting instructions that accompanied the proxy materials.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Items of Business:</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elect the Class I director nominees named in the Proxy Statement to a term of three years;</w:t>
      </w:r>
    </w:p>
    <w:p>
      <w:pPr>
        <w:spacing w:after="0" w:line="161" w:lineRule="exact"/>
        <w:rPr>
          <w:rFonts w:ascii="Times New Roman" w:cs="Times New Roman" w:eastAsia="Times New Roman" w:hAnsi="Times New Roman"/>
          <w:sz w:val="20"/>
          <w:szCs w:val="20"/>
          <w:color w:val="auto"/>
        </w:rPr>
      </w:pPr>
    </w:p>
    <w:p>
      <w:pPr>
        <w:ind w:left="760" w:right="20" w:hanging="378"/>
        <w:spacing w:after="0" w:line="26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PricewaterhouseCoopers LLP as our independent registered public accounting firm for the fiscal year ending December 31, 2026; and</w:t>
      </w:r>
    </w:p>
    <w:p>
      <w:pPr>
        <w:spacing w:after="0" w:line="172" w:lineRule="exact"/>
        <w:rPr>
          <w:rFonts w:ascii="Times New Roman" w:cs="Times New Roman" w:eastAsia="Times New Roman" w:hAnsi="Times New Roman"/>
          <w:sz w:val="20"/>
          <w:szCs w:val="20"/>
          <w:color w:val="auto"/>
        </w:rPr>
      </w:pPr>
    </w:p>
    <w:p>
      <w:pPr>
        <w:ind w:left="760" w:hanging="378"/>
        <w:spacing w:after="0" w:line="269" w:lineRule="auto"/>
        <w:tabs>
          <w:tab w:leader="none" w:pos="7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approve an amendment and restatement of the Company’s 2022 Equity Incentive Plan to, among other things, increase the number of shares authorized for issuance thereunder.</w:t>
      </w:r>
    </w:p>
    <w:p>
      <w:pPr>
        <w:spacing w:after="0" w:line="105" w:lineRule="exact"/>
        <w:rPr>
          <w:sz w:val="20"/>
          <w:szCs w:val="20"/>
          <w:color w:val="auto"/>
        </w:rPr>
      </w:pPr>
    </w:p>
    <w:p>
      <w:pPr>
        <w:ind w:firstLine="374"/>
        <w:spacing w:after="0" w:line="269" w:lineRule="auto"/>
        <w:rPr>
          <w:sz w:val="20"/>
          <w:szCs w:val="20"/>
          <w:color w:val="auto"/>
        </w:rPr>
      </w:pPr>
      <w:r>
        <w:rPr>
          <w:rFonts w:ascii="Times New Roman" w:cs="Times New Roman" w:eastAsia="Times New Roman" w:hAnsi="Times New Roman"/>
          <w:sz w:val="20"/>
          <w:szCs w:val="20"/>
          <w:color w:val="auto"/>
        </w:rPr>
        <w:t>These matters are more fully described in the Proxy Statement. In addition, any other matters that properly come before the Annual Meeting or any adjournment or postponement thereof will be considered.</w:t>
      </w:r>
    </w:p>
    <w:p>
      <w:pPr>
        <w:spacing w:after="0" w:line="173" w:lineRule="exact"/>
        <w:rPr>
          <w:sz w:val="20"/>
          <w:szCs w:val="20"/>
          <w:color w:val="auto"/>
        </w:rPr>
      </w:pPr>
    </w:p>
    <w:p>
      <w:pPr>
        <w:ind w:right="20" w:firstLine="374"/>
        <w:spacing w:after="0" w:line="269" w:lineRule="auto"/>
        <w:rPr>
          <w:sz w:val="20"/>
          <w:szCs w:val="20"/>
          <w:color w:val="auto"/>
        </w:rPr>
      </w:pPr>
      <w:r>
        <w:rPr>
          <w:rFonts w:ascii="Times New Roman" w:cs="Times New Roman" w:eastAsia="Times New Roman" w:hAnsi="Times New Roman"/>
          <w:sz w:val="20"/>
          <w:szCs w:val="20"/>
          <w:color w:val="auto"/>
        </w:rPr>
        <w:t>Your vote is important. Whether or not you expect to participate in the Annual Meeting, the Board of Directors encourages you to review the Proxy Statement and Supplement for information relating to each of the proposals and to cast your vote promptly.</w:t>
      </w:r>
    </w:p>
    <w:p>
      <w:pPr>
        <w:spacing w:after="0" w:line="15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13970</wp:posOffset>
            </wp:positionV>
            <wp:extent cx="12084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b w:val="1"/>
          <w:bCs w:val="1"/>
          <w:color w:val="auto"/>
        </w:rPr>
        <w:t>Peter Blume-Jensen, M.D., Ph.D.</w:t>
      </w:r>
    </w:p>
    <w:p>
      <w:pPr>
        <w:spacing w:after="0" w:line="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0"/>
          <w:szCs w:val="20"/>
          <w:color w:val="auto"/>
        </w:rPr>
        <w:t>Chief Executive Officer, President and Chairman of the Board</w:t>
      </w:r>
    </w:p>
    <w:p>
      <w:pPr>
        <w:ind w:left="4080"/>
        <w:spacing w:after="0"/>
        <w:rPr>
          <w:sz w:val="20"/>
          <w:szCs w:val="20"/>
          <w:color w:val="auto"/>
        </w:rPr>
      </w:pPr>
      <w:r>
        <w:rPr>
          <w:rFonts w:ascii="Times New Roman" w:cs="Times New Roman" w:eastAsia="Times New Roman" w:hAnsi="Times New Roman"/>
          <w:sz w:val="20"/>
          <w:szCs w:val="20"/>
          <w:color w:val="auto"/>
        </w:rPr>
        <w:t>May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9"/>
          <w:szCs w:val="19"/>
          <w:b w:val="1"/>
          <w:bCs w:val="1"/>
          <w:color w:val="auto"/>
        </w:rPr>
        <w:t>The Disclosure Hereby Supplements the Proxy Statement to Add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p>
      <w:pPr>
        <w:spacing w:after="0" w:line="295" w:lineRule="exact"/>
        <w:rPr>
          <w:sz w:val="20"/>
          <w:szCs w:val="20"/>
          <w:color w:val="auto"/>
        </w:rPr>
      </w:pPr>
    </w:p>
    <w:p>
      <w:pPr>
        <w:jc w:val="center"/>
        <w:ind w:right="40"/>
        <w:spacing w:after="0" w:line="256" w:lineRule="auto"/>
        <w:rPr>
          <w:sz w:val="20"/>
          <w:szCs w:val="20"/>
          <w:color w:val="auto"/>
        </w:rPr>
      </w:pPr>
      <w:r>
        <w:rPr>
          <w:rFonts w:ascii="Times New Roman" w:cs="Times New Roman" w:eastAsia="Times New Roman" w:hAnsi="Times New Roman"/>
          <w:sz w:val="20"/>
          <w:szCs w:val="20"/>
          <w:b w:val="1"/>
          <w:bCs w:val="1"/>
          <w:color w:val="auto"/>
        </w:rPr>
        <w:t>PROPOSAL NO. 3: APPROVAL OF AN AMENDMENT AND RESTATEMENT OF THE COMPANY’S 2022 EQUITY INCENTIVE PLAN TO, AMONG OTHER THINGS, INCREASE THE NUMBER OF SHARES AUTHORIZED FOR ISSUANCE THEREUNDER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Overview</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Acrivon Therapeutics, Inc. 2022 Equity Incentive Plan (the “2022 Plan”) became effective on November 14, 2022. As of May 18, 2026, there were 622,667 shares of our common stock that remained available for future issuance under the 2022 Plan. Given the limited number of shares that currently remain available for grants under the 2022 Plan, our Board and management believe it is important that the 2022 Plan be amended and restated to increase the number of shares currently available for issuance under the 2022 Plan by 3,000,000 shares, to amend the evergreen provision to provide that the annual increase will be determined based on our outstanding shares calculated on a fully diluted basis (including outstanding pre-funded warrants), and to make certain other conforming changes to allow us to continue to attract, motivate, reward and retain a talented team in a highly competitive industry. If the Amended and Restated 2022 Plan is not adopted by our stockholders, the Company will continue to operate the 2022 Plan pursuant to its current provisions, and we may be required to increase the cash component of our compensation mix, which would inhibit our ability to align our employees’ interests with the interests of our stockholders, to recruit and retain new talent, and motivate our current employees over a long-term period.</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biopharmaceutical company focused on developing precision medicines, we compete for talent with numerous other companies, including those with greater financial resources and name recognition than us. Our Board and management believe that the Company’s ability to remain competitive with such companies depends, in large part, on the Company’s ability to attract, retain and motivate employees and non-employee directors with equity awards being a key element underlying our ability to attract, retain and motivate such personnel. Without the ability to offer competitive equity compensation, the potential success of the Company may be limited.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Grant Practices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As of May 18, 2026, there were 7,760,106 stock options and 1,052,881 restricted stock units (“RSUs”) outstanding under the 2022 Plan. As of that date, the weighted average exercise price of our outstanding stock options under the 2022 Plan was approximately $4.85, and the weighted average remaining contractual term for the outstanding stock options was approximately 7.7 years. We have historically granted both stock options and RSUs. All equity awards granted prior to our initial public offering were granted under the 2019 Stock Incentive Plan of Acrivon Therapeutics, Inc. (the “2019 Plan”), while all equity awards granted after such date were granted under the 2022 Plan (along with our 2023 Inducement Plan, as explained below). As noted above, as of May 18, 2026, 622,667 shares of our common stock remained available for issuance under the 2022 Plan. </w:t>
      </w:r>
      <w:r>
        <w:rPr>
          <w:rFonts w:ascii="Times New Roman" w:cs="Times New Roman" w:eastAsia="Times New Roman" w:hAnsi="Times New Roman"/>
          <w:sz w:val="20"/>
          <w:szCs w:val="20"/>
          <w:color w:val="212121"/>
        </w:rPr>
        <w:t>In addition, the Company has 408,270 shares available under the Company’s 2023 Inducement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212121"/>
        </w:rPr>
        <w:t>Plan, which is available for grants to new employees of the Company in accordance with the Nasdaq listing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Proposed Amendment and Restatement</w:t>
      </w:r>
    </w:p>
    <w:p>
      <w:pPr>
        <w:spacing w:after="0" w:line="2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On May 20, 2026, the Board approved the Amended and Restated 2022 Equity Incentive Plan (the “Amended and Restated 2022 Plan”), subject to approval by the Company’s stockholders at the Annual Meeting, that would increase the total remaining number of shares of common stock available for issuance under the 2022 Plan by 3,000,000 shares, amend the evergreen provision to provide that the annual increase will be determined based on our outstanding shares calculated on a fully diluted basis, including outstanding pre-funded warrants, and make certain other conforming updates to allow us to continue to attract, motivate, reward and retain a talented team in a highly competitive industry. After adding the shares that remained available for future issuances under the 2022 Plan as of May 18, 2026, to the 3,000,000 additional shares approved by the proposed amendment and</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type w:val="continuous"/>
        </w:sectPr>
      </w:pPr>
    </w:p>
    <w:bookmarkStart w:id="4" w:name="page5"/>
    <w:bookmarkEnd w:id="4"/>
    <w:p>
      <w:pPr>
        <w:jc w:val="both"/>
        <w:spacing w:after="0" w:line="269" w:lineRule="auto"/>
        <w:rPr>
          <w:sz w:val="20"/>
          <w:szCs w:val="20"/>
          <w:color w:val="auto"/>
        </w:rPr>
      </w:pPr>
      <w:r>
        <w:rPr>
          <w:rFonts w:ascii="Times New Roman" w:cs="Times New Roman" w:eastAsia="Times New Roman" w:hAnsi="Times New Roman"/>
          <w:sz w:val="20"/>
          <w:szCs w:val="20"/>
          <w:color w:val="auto"/>
        </w:rPr>
        <w:t>restatement, there will be a total of 3,622,667 shares of our common stock available for future issuance under the Amended and Restated 2022 Plan.</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the Material Terms of the 2022 Plan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 summary of the material features of the Amended and Restated 2022 Plan is set forth below. This summary is, however, qualified in its entirety by and subject to the full text of the Amended and Restated 2022 Plan, which is attached to this Supplement as Appendix A. Capitalized terms used in this summary that are not otherwise defined have the respective meanings given to such terms in the full text of the Amended and Restated 2022 Plan.</w:t>
      </w:r>
    </w:p>
    <w:p>
      <w:pPr>
        <w:spacing w:after="0" w:line="18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Types of Awards. </w:t>
      </w:r>
      <w:r>
        <w:rPr>
          <w:rFonts w:ascii="Times New Roman" w:cs="Times New Roman" w:eastAsia="Times New Roman" w:hAnsi="Times New Roman"/>
          <w:sz w:val="20"/>
          <w:szCs w:val="20"/>
          <w:color w:val="auto"/>
        </w:rPr>
        <w:t>Our Amended and Restated 2022 Plan provides for the grant of incentive stock options, or ISOs, nonstatutory stock</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options, or NSOs, stock appreciation rights, restricted stock awards, restricted stock unit awards, performance-based awards and other awards. ISOs may be granted only to our employees, including our officers, and the employees of our affiliates under the Amended and Restated 2022 Plan. All other awards may be granted to our employees, including our officers, our non-employee directors and consultants and the employees and consultants of our affiliates.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Eligibility. </w:t>
      </w:r>
      <w:r>
        <w:rPr>
          <w:rFonts w:ascii="Times New Roman" w:cs="Times New Roman" w:eastAsia="Times New Roman" w:hAnsi="Times New Roman"/>
          <w:sz w:val="20"/>
          <w:szCs w:val="20"/>
          <w:color w:val="auto"/>
        </w:rPr>
        <w:t>Participants in the Amended and Restated 2022 Plan will consist of such employees, non-employee directors and consultants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and its affiliates as selected by the administrator. As of May 18, 2026, approximately 75 employees and six non-employee directors would be eligible to participate in the Amended and Restated 2022 Plan if selected by the administrator.</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Authorized Shares. </w:t>
      </w:r>
      <w:r>
        <w:rPr>
          <w:rFonts w:ascii="Times New Roman" w:cs="Times New Roman" w:eastAsia="Times New Roman" w:hAnsi="Times New Roman"/>
          <w:sz w:val="20"/>
          <w:szCs w:val="20"/>
          <w:color w:val="auto"/>
        </w:rPr>
        <w:t>After factoring in the requested share increase of 3,000,000 shares, the maximum number of shares of common stock that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issued under our Amended and Restated 2022 Plan is 8,606,723 shares. The number of shares of common stock reserved for issuance under our Amended and Restated 2022 Plan will automatically increase on January 1 of each year, beginning on January 1, 2027, and continuing through and including January 1, 2032, by 5% of the aggregate number of shares of common stock outstanding on a fully diluted basis, including shares issuable upon exercise of outstanding pre-funded warrants on December 31 of the preceding calendar year, or a lesser number of shares determined by our Board prior to the applicable January 1. The maximum number of shares that may be issued upon the exercise of ISOs under our Amended and Restated 2022 Plan is 16,820,169 shares.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following actions do not result in an issuance of shares under the Amended and Restated 2022 Plan and accordingly do not reduce the number of shares available for issuance under the Amended and Restated 2022 Plan: (1) the expiration or termination of any portion of an award without the shares covered by such portion of the award having been issued; (2) the settlement of any portion of an award in cash;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 In addition, the following shares of common stock previously issued pursuant to an award and accordingly initially deducted from the available shares will be added back to the available shares and again become available for issuance under the Amended and Restated 2022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0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maximum number of shares of common stock subject to stock awards granted under the Amended and Restated 2022 Plan or otherwise during any calendar year to any non-employee director, taken together with any cash fees paid by us to such non-employee director during such calendar year for service on the Board, will not exceed $750,000 in total value (calculating the value of any such stock awards based on the grant date fair value of such stock awards for financial reporting purposes).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color w:val="auto"/>
        </w:rPr>
        <w:t>As of May 18, 2026, the closing sales price per share of our common stock as reported on the Nasdaq Global Market was $1.65.</w:t>
      </w:r>
    </w:p>
    <w:p>
      <w:pPr>
        <w:spacing w:after="0" w:line="2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Plan Administration. </w:t>
      </w:r>
      <w:r>
        <w:rPr>
          <w:rFonts w:ascii="Times New Roman" w:cs="Times New Roman" w:eastAsia="Times New Roman" w:hAnsi="Times New Roman"/>
          <w:sz w:val="20"/>
          <w:szCs w:val="20"/>
          <w:color w:val="auto"/>
        </w:rPr>
        <w:t>Our Board, or a duly authorized committee of our Board, may administer our Amended and Restated 2022 Plan.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has delegated concurrent authority to administer our Amended and Restated 2022 Plan to the compensation committee under the terms of the compensation committee’s charter. We sometimes refer to the Board,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9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Options. </w:t>
      </w:r>
      <w:r>
        <w:rPr>
          <w:rFonts w:ascii="Times New Roman" w:cs="Times New Roman" w:eastAsia="Times New Roman" w:hAnsi="Times New Roman"/>
          <w:sz w:val="20"/>
          <w:szCs w:val="20"/>
          <w:color w:val="auto"/>
        </w:rPr>
        <w:t>ISOs and NSOs are granted pursuant to stock option agreements adopted by the administrator. The administrator determines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exercise price for a stock option, within the terms and conditions of the Amended and Restated 2022 Plan, provided that, other than with respect to substitute stock options granted in connection with a corporate transaction, the exercise price of a stock option cannot be less than 100% of the fair market value of our common stock on the date of grant. Options granted under the Amended and Restated 2022 Plan vest at the rate as specified in the stock option agreement by the administrator. The administrator determines the term of stock options granted under the Amended and Restated 2022 Plan, up to a maximum of ten years. Under the terms of the Amended and Restated 2022 Plan, the administrator has the ability to implement a repricing with respect to stock options.</w:t>
      </w:r>
    </w:p>
    <w:p>
      <w:pPr>
        <w:spacing w:after="0" w:line="19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Acceptable consideration for the purchase of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Restricted Stock Awards. </w:t>
      </w:r>
      <w:r>
        <w:rPr>
          <w:rFonts w:ascii="Times New Roman" w:cs="Times New Roman" w:eastAsia="Times New Roman" w:hAnsi="Times New Roman"/>
          <w:sz w:val="20"/>
          <w:szCs w:val="20"/>
          <w:color w:val="auto"/>
        </w:rPr>
        <w:t>Restricted stock awards are granted pursuant to restricted stock award agreements adopted by the administrator.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Restricted stock awards may be granted in consideration for cash, check, bank draft or money order, services rendered to us or our affiliates or any other form of legal consideration.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Restricted Stock Unit Awards. </w:t>
      </w:r>
      <w:r>
        <w:rPr>
          <w:rFonts w:ascii="Times New Roman" w:cs="Times New Roman" w:eastAsia="Times New Roman" w:hAnsi="Times New Roman"/>
          <w:sz w:val="20"/>
          <w:szCs w:val="20"/>
          <w:color w:val="auto"/>
        </w:rPr>
        <w:t>RSU awards are granted pursuant to RSU award agreements adopted by the administrator. RSU awards may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be granted in consideration for any form of legal consideration. A RSU award may be settled by cash, delivery of stock, a combination of cash and stock as deemed appropriate by the administrator or in any other form of consideration set forth in the RSU award agreement. Additionally, dividend equivalents may be credited in respect of shares covered by a RSU award. Except as otherwise provided in the applicable award agreement, RSUs that have not vested will be forfeited upon the participant’s cessation of continuous service for any reason.</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Appreciation Rights. </w:t>
      </w:r>
      <w:r>
        <w:rPr>
          <w:rFonts w:ascii="Times New Roman" w:cs="Times New Roman" w:eastAsia="Times New Roman" w:hAnsi="Times New Roman"/>
          <w:sz w:val="20"/>
          <w:szCs w:val="20"/>
          <w:color w:val="auto"/>
        </w:rPr>
        <w:t>Stock appreciation rights are granted pursuant to stock appreciation right grant agreements adopted by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administrator. The administrator determines the strike price for a stock appreciation right, provided that, other than with respect to substitute stock appreciation rights granted in connection with a corporate transaction, the exercise price of a stock appreciation right cannot be less than 100% of the fair market value of our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common stock with respect to which the stock appreciation right is exercised. A stock appreciation right granted under the Amended and Restated 2022 Plan vests at the rate specified in the stock appreciation right agreement as determined by the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20"/>
          <w:szCs w:val="20"/>
          <w:color w:val="auto"/>
        </w:rPr>
        <w:t>administrator. The administrator determines the term of stock appreciation rights granted under the Amended and Restated 2022 Plan, up to a maximum of ten years. Under the terms of the Amended and Restated 2022 Plan, the administrator has the ability to implement a repricing with respect to stock appreciation rights.</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Awards. </w:t>
      </w:r>
      <w:r>
        <w:rPr>
          <w:rFonts w:ascii="Times New Roman" w:cs="Times New Roman" w:eastAsia="Times New Roman" w:hAnsi="Times New Roman"/>
          <w:sz w:val="20"/>
          <w:szCs w:val="20"/>
          <w:color w:val="auto"/>
        </w:rPr>
        <w:t>Our Amended and Restated 2022 Plan permits the grant of performance-based stock and cash awards.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administrator can structure such awards so that the stock or cash will be issued or paid pursuant to such award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performance goals may be based on any measure of performance selected by the administrator. The administrator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The performance criteria that will be used to establish such performance goals may be based on any one of, or combination of, the following as determined by the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administrator whether or not listed herein.</w:t>
      </w:r>
    </w:p>
    <w:p>
      <w:pPr>
        <w:spacing w:after="0" w:line="158"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Other Awards. </w:t>
      </w:r>
      <w:r>
        <w:rPr>
          <w:rFonts w:ascii="Times New Roman" w:cs="Times New Roman" w:eastAsia="Times New Roman" w:hAnsi="Times New Roman"/>
          <w:sz w:val="20"/>
          <w:szCs w:val="20"/>
          <w:color w:val="auto"/>
        </w:rPr>
        <w:t>The administrator may grant other awards based in whole or in part by reference to common stock. The administrator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set the number of shares under the award and all other terms and conditions of such awards.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 xml:space="preserve">Changes to Capital Structure. </w:t>
      </w:r>
      <w:r>
        <w:rPr>
          <w:rFonts w:ascii="Times New Roman" w:cs="Times New Roman" w:eastAsia="Times New Roman" w:hAnsi="Times New Roman"/>
          <w:sz w:val="20"/>
          <w:szCs w:val="20"/>
          <w:color w:val="auto"/>
        </w:rPr>
        <w:t>In the event there is a specified type of change in our capital structure, such as a stock split, reverse stock split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recapitalization, appropriate adjustments will be made to (1) the class and maximum number of shares reserved for issuance under the Amended and Restated 2022 Plan; (2) 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 xml:space="preserve">Corporate Transactions. </w:t>
      </w:r>
      <w:r>
        <w:rPr>
          <w:rFonts w:ascii="Times New Roman" w:cs="Times New Roman" w:eastAsia="Times New Roman" w:hAnsi="Times New Roman"/>
          <w:sz w:val="20"/>
          <w:szCs w:val="20"/>
          <w:color w:val="auto"/>
        </w:rPr>
        <w:t>In the event of a corporate transaction, any stock awards outstanding under the Amended and Restated 2022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(1) with respect to any such stock awards that are held by participants whose continuous service has not terminated prior to the effective time of the corporate transaction, or current participants, the vesting (and exercisability, if applicable)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20"/>
          <w:szCs w:val="20"/>
          <w:color w:val="auto"/>
        </w:rPr>
        <w:t>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(2)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Under the Amended and Restated 2022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Transferability. </w:t>
      </w:r>
      <w:r>
        <w:rPr>
          <w:rFonts w:ascii="Times New Roman" w:cs="Times New Roman" w:eastAsia="Times New Roman" w:hAnsi="Times New Roman"/>
          <w:sz w:val="20"/>
          <w:szCs w:val="20"/>
          <w:color w:val="auto"/>
        </w:rPr>
        <w:t>A participant may not transfer awards under our Amended and Restated 2022 Plan other than by will, the laws of descent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distribution or as otherwise provided under our Amended and Restated 2022 Plan.</w:t>
      </w:r>
    </w:p>
    <w:p>
      <w:pPr>
        <w:spacing w:after="0" w:line="16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Plan Amendment or Termination. </w:t>
      </w:r>
      <w:r>
        <w:rPr>
          <w:rFonts w:ascii="Times New Roman" w:cs="Times New Roman" w:eastAsia="Times New Roman" w:hAnsi="Times New Roman"/>
          <w:sz w:val="20"/>
          <w:szCs w:val="20"/>
          <w:color w:val="auto"/>
        </w:rPr>
        <w:t>Our Board has the authority to amend, suspend or terminate our Amended and Restated 2022 Plan,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provided that such action does not materially impair the existing rights of any participant without such participant’s written consent. Certain material amendments also require the approval of our stockholders. No awards may be granted under our Amended and Restated 2022 Plan while it is suspended or after it is terminated.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Plan Benefits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future benefits that will be awarded or paid under the Amended and Restated 2022 Plan cannot currently be determined. Awards granted under the Amended and Restated 2022 Plan are within the discretion of the administrator, and the administrator has not determined future awards or who might receive them. The Amended and Restated 2022 Plan does not have set benefits or amounts, and no grants or awards have been made by the Board or the administrator to date subject to stockholder approval. Please see the “Director Compensation” and “Executive Compensation” sections of our Proxy Statement for further information regarding the equity awards granted to our non-employee directors and named executive officers.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i w:val="1"/>
          <w:iCs w:val="1"/>
          <w:color w:val="auto"/>
        </w:rPr>
        <w:t>Historical Equity Awards Table</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following table sets forth with respect to each named executive officer listed in the 2025 Summary Compensation Table and each group listed below the number of shares issued or issuable pursuant to options and RSUs granted under the 2022 Plan since the inception of the 2022 Plan through May 18, 2026 (excluding any grants that were subsequently forfeited, terminated or cancelled).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00" w:type="dxa"/>
            <w:vAlign w:val="bottom"/>
          </w:tcPr>
          <w:p>
            <w:pPr>
              <w:spacing w:after="0"/>
              <w:rPr>
                <w:sz w:val="20"/>
                <w:szCs w:val="20"/>
                <w:color w:val="auto"/>
              </w:rPr>
            </w:pPr>
          </w:p>
        </w:tc>
        <w:tc>
          <w:tcPr>
            <w:tcW w:w="14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Peter Blume-Jensen, Chief Executive Officer and President and Chairman of our Board</w:t>
            </w:r>
          </w:p>
        </w:tc>
        <w:tc>
          <w:tcPr>
            <w:tcW w:w="2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1,503,502</w:t>
            </w:r>
          </w:p>
        </w:tc>
        <w:tc>
          <w:tcPr>
            <w:tcW w:w="14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1,304,584</w:t>
            </w:r>
          </w:p>
        </w:tc>
        <w:tc>
          <w:tcPr>
            <w:tcW w:w="100" w:type="dxa"/>
            <w:vAlign w:val="bottom"/>
            <w:shd w:val="clear" w:color="auto" w:fill="CCEDFF"/>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Kristina Masson, Executive Vice President, Business Operations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641,448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92,345</w:t>
            </w:r>
          </w:p>
        </w:tc>
        <w:tc>
          <w:tcPr>
            <w:tcW w:w="100" w:type="dxa"/>
            <w:vAlign w:val="bottom"/>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Eric Devroe, Chief Operating Officer</w:t>
            </w:r>
          </w:p>
        </w:tc>
        <w:tc>
          <w:tcPr>
            <w:tcW w:w="2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738,209</w:t>
            </w:r>
          </w:p>
        </w:tc>
        <w:tc>
          <w:tcPr>
            <w:tcW w:w="14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97,453</w:t>
            </w:r>
          </w:p>
        </w:tc>
        <w:tc>
          <w:tcPr>
            <w:tcW w:w="100" w:type="dxa"/>
            <w:vAlign w:val="bottom"/>
            <w:shd w:val="clear" w:color="auto" w:fill="CCEDFF"/>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as a group (7 persons)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4,217,824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1,715,125</w:t>
            </w:r>
          </w:p>
        </w:tc>
        <w:tc>
          <w:tcPr>
            <w:tcW w:w="100" w:type="dxa"/>
            <w:vAlign w:val="bottom"/>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r>
      <w:tr>
        <w:trPr>
          <w:trHeight w:val="216"/>
        </w:trPr>
        <w:tc>
          <w:tcPr>
            <w:tcW w:w="760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All current non-executive directors (6 persons)</w:t>
            </w:r>
          </w:p>
        </w:tc>
        <w:tc>
          <w:tcPr>
            <w:tcW w:w="2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405,955</w:t>
            </w:r>
          </w:p>
        </w:tc>
        <w:tc>
          <w:tcPr>
            <w:tcW w:w="1480" w:type="dxa"/>
            <w:vAlign w:val="bottom"/>
            <w:gridSpan w:val="2"/>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56,196</w:t>
            </w:r>
          </w:p>
        </w:tc>
        <w:tc>
          <w:tcPr>
            <w:tcW w:w="100" w:type="dxa"/>
            <w:vAlign w:val="bottom"/>
            <w:shd w:val="clear" w:color="auto" w:fill="CCEDFF"/>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shd w:val="clear" w:color="auto" w:fill="CCEDFF"/>
          </w:tcPr>
          <w:p>
            <w:pPr>
              <w:spacing w:after="0"/>
              <w:rPr>
                <w:sz w:val="5"/>
                <w:szCs w:val="5"/>
                <w:color w:val="auto"/>
              </w:rPr>
            </w:pPr>
          </w:p>
        </w:tc>
      </w:tr>
      <w:tr>
        <w:trPr>
          <w:trHeight w:val="216"/>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All employees (other than current executive officers) as a group (approximately 68 persons)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2,986,345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473,337</w:t>
            </w:r>
          </w:p>
        </w:tc>
        <w:tc>
          <w:tcPr>
            <w:tcW w:w="100" w:type="dxa"/>
            <w:vAlign w:val="bottom"/>
          </w:tcPr>
          <w:p>
            <w:pPr>
              <w:spacing w:after="0"/>
              <w:rPr>
                <w:sz w:val="18"/>
                <w:szCs w:val="18"/>
                <w:color w:val="auto"/>
              </w:rPr>
            </w:pPr>
          </w:p>
        </w:tc>
      </w:tr>
      <w:tr>
        <w:trPr>
          <w:trHeight w:val="68"/>
        </w:trPr>
        <w:tc>
          <w:tcPr>
            <w:tcW w:w="7600" w:type="dxa"/>
            <w:vAlign w:val="bottom"/>
            <w:shd w:val="clear" w:color="auto" w:fill="385888"/>
          </w:tcPr>
          <w:p>
            <w:pPr>
              <w:spacing w:after="0"/>
              <w:rPr>
                <w:sz w:val="5"/>
                <w:szCs w:val="5"/>
                <w:color w:val="auto"/>
              </w:rPr>
            </w:pPr>
          </w:p>
        </w:tc>
        <w:tc>
          <w:tcPr>
            <w:tcW w:w="206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shd w:val="clear" w:color="auto" w:fill="385888"/>
          </w:tcPr>
          <w:p>
            <w:pPr>
              <w:spacing w:after="0"/>
              <w:rPr>
                <w:sz w:val="5"/>
                <w:szCs w:val="5"/>
                <w:color w:val="auto"/>
              </w:rPr>
            </w:pPr>
          </w:p>
        </w:tc>
        <w:tc>
          <w:tcPr>
            <w:tcW w:w="10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-942340</wp:posOffset>
            </wp:positionV>
            <wp:extent cx="6858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431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4318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-582295</wp:posOffset>
            </wp:positionV>
            <wp:extent cx="6858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431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4318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-222250</wp:posOffset>
            </wp:positionV>
            <wp:extent cx="6858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4318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-222250</wp:posOffset>
            </wp:positionV>
            <wp:extent cx="6858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4318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Except as listed in the table above, no awards have been granted under the 2022 Plan over its lifetime to the following categories of persons:</w:t>
      </w:r>
    </w:p>
    <w:p>
      <w:pPr>
        <w:spacing w:after="0" w:line="22" w:lineRule="exact"/>
        <w:rPr>
          <w:sz w:val="20"/>
          <w:szCs w:val="20"/>
          <w:color w:val="auto"/>
        </w:rPr>
      </w:pPr>
    </w:p>
    <w:p>
      <w:pPr>
        <w:ind w:right="20" w:firstLine="8"/>
        <w:spacing w:after="0" w:line="246" w:lineRule="auto"/>
        <w:tabs>
          <w:tab w:leader="none" w:pos="24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associates of our non-employee directors, executive officers or nominees for election or (ii) any other person who received or who is to receive 5% of such options, warrants or rights.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Federal Income Tax Consequences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is a brief summary of certain United States federal income tax consequences generally arising with respect to awards under the Amended and Restated 2022 Plan. This discussion does not address all aspects of the United States federal income tax consequences of participating in the Amended and Restated 2022 Plan that may be relevant to participants in light of their personal investment or tax circumstances and does not discuss any state, local or non-United States tax consequences of participating in the Amended and Restated 2022 Plan. Each participant is advised to consult his or her particular tax advisor concerning the application of the United States federal income tax laws to such participant’s particular situation, as well as the applicability and effect of any state, local or non-United States tax laws before taking any actions with respect to any awards.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Section 162(m) of the Internal Revenue Code. </w:t>
      </w:r>
      <w:r>
        <w:rPr>
          <w:rFonts w:ascii="Times New Roman" w:cs="Times New Roman" w:eastAsia="Times New Roman" w:hAnsi="Times New Roman"/>
          <w:sz w:val="20"/>
          <w:szCs w:val="20"/>
          <w:color w:val="auto"/>
        </w:rPr>
        <w:t>Section 162(m) of the Internal Revenue Code generally limits to $1 million the amount that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publicly held corporation is allowed each year to deduct for the compensation paid to each of the corporation’s chief executive officer, the corporation’s chief financial officer and certain other current and former service providers of the corporation.</w:t>
      </w:r>
    </w:p>
    <w:p>
      <w:pPr>
        <w:spacing w:after="0" w:line="1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b w:val="1"/>
          <w:bCs w:val="1"/>
          <w:i w:val="1"/>
          <w:iCs w:val="1"/>
          <w:color w:val="auto"/>
        </w:rPr>
        <w:t xml:space="preserve">Stock Options. </w:t>
      </w:r>
      <w:r>
        <w:rPr>
          <w:rFonts w:ascii="Times New Roman" w:cs="Times New Roman" w:eastAsia="Times New Roman" w:hAnsi="Times New Roman"/>
          <w:sz w:val="20"/>
          <w:szCs w:val="20"/>
          <w:color w:val="auto"/>
        </w:rPr>
        <w:t>A participant will not recognize taxable income at the time an option is granted and the Company will not be entitled to a tax</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deduction at that time. A participant will recognize compensation taxable as ordinary income (and subject to income tax withholding in respect of an employee) upon exercise of a non-qualified stock option equal to the excess of the fair market value of the shares purchased (determined on the date of exercise) over their exercise price, and the Company (or, if applicable, the affiliate employer) will be entitled to a corresponding deduction, subject to the deduction limits under Section 162(m) of the Internal Revenue Code. A participant will not recognize income (except for purposes of the alternative minimum tax) upon exercise of an incentive stock option. If the shares acquired by exercise of an incentive stock option are held for the longer of two years from the date the option was granted and one year from the date it was exercised, any gain or loss arising from a subsequent disposition of those shares will be taxed as long-term capital gain or loss, and the Company will not be entitled to any deduction. If, however, those shares are disposed of within the above-described period, then in the year of that disposition the participant will recognize compensation taxable as ordinary income equal to the excess of (1) the lesser of the amount realized upon that disposition and the fair market value of those shares on the date of exercise over (2) the exercise price, and the Company (or, if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20"/>
          <w:szCs w:val="20"/>
          <w:color w:val="auto"/>
        </w:rPr>
        <w:t>applicable, the affiliate employer) will be entitled to a corresponding deduction, subject to the deduction limits under Section 162(m) of the Internal Revenue Code.</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9"/>
          <w:szCs w:val="19"/>
          <w:b w:val="1"/>
          <w:bCs w:val="1"/>
          <w:i w:val="1"/>
          <w:iCs w:val="1"/>
          <w:color w:val="auto"/>
        </w:rPr>
        <w:t>Stock Appreciation Rights</w:t>
      </w:r>
      <w:r>
        <w:rPr>
          <w:rFonts w:ascii="Times New Roman" w:cs="Times New Roman" w:eastAsia="Times New Roman" w:hAnsi="Times New Roman"/>
          <w:sz w:val="19"/>
          <w:szCs w:val="19"/>
          <w:color w:val="auto"/>
        </w:rPr>
        <w:t>. A participant will not recognize taxable income at the time stock appreciation rights are granted and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Company will not be entitled to a tax deduction at that time. Upon exercise, the participant will recognize compensation taxable as ordinary income (and subject to income tax withholding in respect of an employee) in an amount equal to the fair market value of any shares delivered (determined on the date of exercise) and the amount of cash paid by the Company, and the Company (or, if applicable, the affiliate employer) will be entitled to a corresponding deduction, subject to the deduction limits under Section 162(m) of the Internal Revenue Code.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b w:val="1"/>
          <w:bCs w:val="1"/>
          <w:i w:val="1"/>
          <w:iCs w:val="1"/>
          <w:color w:val="auto"/>
        </w:rPr>
        <w:t xml:space="preserve">Stock Awards. </w:t>
      </w:r>
      <w:r>
        <w:rPr>
          <w:rFonts w:ascii="Times New Roman" w:cs="Times New Roman" w:eastAsia="Times New Roman" w:hAnsi="Times New Roman"/>
          <w:sz w:val="19"/>
          <w:szCs w:val="19"/>
          <w:color w:val="auto"/>
        </w:rPr>
        <w:t>A participant will not recognize taxable income at the time restricted stock (i.e., stock subject to a substantial risk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forfeiture) is granted, and the Company will not be entitled to a tax deduction at that time, unless the participant makes an election to be taxed at that time. If such election is made, the participant will recognize compensation taxable as ordinary income (and subject to income tax withholding in respect of an employee) at the time of the grant in an amount equal to the excess of the fair market value for the shares at such time over the amount, if any, paid for those shares. If such election is not made, the participant will recognize compensation taxable as ordinary income (and subject to income tax withholding in respect of an employee) at the time the restrictions constituting the substantial risk of forfeiture lapse in an amount equal to the excess of the fair market value of the shares at such time over the amount, if any, paid for those shares. The amount of ordinary income recognized by making the above-described election or upon the lapse of restrictions constituting a substantial risk of forfeiture is deductible by the Company (or, if applicable, the affiliate employer) as compensation expense, subject to the deduction limits under Section 162(m) of the Internal Revenue Code. In addition, a participant receiving dividends with respect to restricted stock for which the above-described election has not been made and prior to the time the restrictions constituting a substantial risk of forfeiture lapse will recognize compensation taxable as ordinary income (and subject to income tax withholding in respect of an employee), rather than dividend income, in an amount equal to the dividends paid and the Company (or, if applicable, the affiliate employer) will be entitled to a corresponding deduction, subject to the deduction limits under Section 162(m) of the Internal Revenue Code.</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 participant will not recognize taxable income at the time a RSU is granted, and the Company will not be entitled to a tax deduction at that time. Upon settlement of RSUs, the participant will recognize compensation taxable as ordinary income (and subject to income tax withholding in respect of an employee) in an amount equal to the fair market value of any shares delivered (determined as of the date of transfer) and the amount of any cash paid by the Company, and the Company (or, if applicable, the affiliate employer) will be entitled to a corresponding deduction, subject to the deduction limits under Section 162(m) of the Internal Revenue Code.</w:t>
      </w:r>
    </w:p>
    <w:p>
      <w:pPr>
        <w:spacing w:after="0" w:line="19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 xml:space="preserve">Performance Awards and Other Awards. </w:t>
      </w:r>
      <w:r>
        <w:rPr>
          <w:rFonts w:ascii="Times New Roman" w:cs="Times New Roman" w:eastAsia="Times New Roman" w:hAnsi="Times New Roman"/>
          <w:sz w:val="20"/>
          <w:szCs w:val="20"/>
          <w:color w:val="auto"/>
        </w:rPr>
        <w:t>The taxation of performance awards and other awards will depend on the structure of such awards,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but will generally follow the principles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124460</wp:posOffset>
            </wp:positionV>
            <wp:extent cx="6390640" cy="3384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90640" cy="338455"/>
                    </a:xfrm>
                    <a:prstGeom prst="rect">
                      <a:avLst/>
                    </a:prstGeom>
                    <a:noFill/>
                  </pic:spPr>
                </pic:pic>
              </a:graphicData>
            </a:graphic>
          </wp:anchor>
        </w:drawing>
      </w:r>
    </w:p>
    <w:p>
      <w:pPr>
        <w:spacing w:after="0" w:line="186"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OUR BOARD UNANIMOUSLY RECOMMENDS A VOTE “FOR” THE APPROVAL OF THE AMENDED AND RESTATED 2022 EQUITY INCENTIVE PLAN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APPENDIX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3"/>
          <w:szCs w:val="13"/>
          <w:b w:val="1"/>
          <w:bCs w:val="1"/>
          <w:color w:val="auto"/>
        </w:rPr>
        <w:t>crivon therapeutics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3"/>
          <w:szCs w:val="13"/>
          <w:b w:val="1"/>
          <w:bCs w:val="1"/>
          <w:color w:val="auto"/>
        </w:rPr>
        <w:t>inc</w:t>
      </w:r>
      <w:r>
        <w:rPr>
          <w:rFonts w:ascii="Times New Roman" w:cs="Times New Roman" w:eastAsia="Times New Roman" w:hAnsi="Times New Roman"/>
          <w:sz w:val="20"/>
          <w:szCs w:val="20"/>
          <w:b w:val="1"/>
          <w:bCs w:val="1"/>
          <w:color w:val="auto"/>
        </w:rPr>
        <w:t>.</w:t>
      </w:r>
    </w:p>
    <w:p>
      <w:pPr>
        <w:spacing w:after="0" w:line="6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3"/>
          <w:szCs w:val="13"/>
          <w:b w:val="1"/>
          <w:bCs w:val="1"/>
          <w:color w:val="auto"/>
        </w:rPr>
        <w:t>amended and restated</w:t>
      </w:r>
    </w:p>
    <w:p>
      <w:pPr>
        <w:spacing w:after="0" w:line="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 xml:space="preserve">2022 </w:t>
      </w:r>
      <w:r>
        <w:rPr>
          <w:rFonts w:ascii="Times New Roman" w:cs="Times New Roman" w:eastAsia="Times New Roman" w:hAnsi="Times New Roman"/>
          <w:sz w:val="13"/>
          <w:szCs w:val="13"/>
          <w:b w:val="1"/>
          <w:bCs w:val="1"/>
          <w:color w:val="auto"/>
        </w:rPr>
        <w:t>equity incentive plan</w:t>
      </w:r>
    </w:p>
    <w:p>
      <w:pPr>
        <w:spacing w:after="0" w:line="19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adopted by the board of directors</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3"/>
          <w:szCs w:val="13"/>
          <w:b w:val="1"/>
          <w:bCs w:val="1"/>
          <w:color w:val="auto"/>
        </w:rPr>
        <w:t xml:space="preserve"> may </w:t>
      </w:r>
      <w:r>
        <w:rPr>
          <w:rFonts w:ascii="Times New Roman" w:cs="Times New Roman" w:eastAsia="Times New Roman" w:hAnsi="Times New Roman"/>
          <w:sz w:val="19"/>
          <w:szCs w:val="19"/>
          <w:b w:val="1"/>
          <w:bCs w:val="1"/>
          <w:color w:val="auto"/>
        </w:rPr>
        <w:t>20, 2026</w:t>
      </w:r>
    </w:p>
    <w:p>
      <w:pPr>
        <w:spacing w:after="0" w:line="3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b w:val="1"/>
          <w:bCs w:val="1"/>
          <w:color w:val="auto"/>
        </w:rPr>
        <w:t>approved by the stockholders</w:t>
      </w:r>
      <w:r>
        <w:rPr>
          <w:rFonts w:ascii="Times New Roman" w:cs="Times New Roman" w:eastAsia="Times New Roman" w:hAnsi="Times New Roman"/>
          <w:sz w:val="19"/>
          <w:szCs w:val="19"/>
          <w:b w:val="1"/>
          <w:bCs w:val="1"/>
          <w:color w:val="auto"/>
        </w:rPr>
        <w:t>: J</w:t>
      </w:r>
      <w:r>
        <w:rPr>
          <w:rFonts w:ascii="Times New Roman" w:cs="Times New Roman" w:eastAsia="Times New Roman" w:hAnsi="Times New Roman"/>
          <w:sz w:val="13"/>
          <w:szCs w:val="13"/>
          <w:b w:val="1"/>
          <w:bCs w:val="1"/>
          <w:color w:val="auto"/>
        </w:rPr>
        <w:t xml:space="preserve">une </w:t>
      </w:r>
      <w:r>
        <w:rPr>
          <w:rFonts w:ascii="Times New Roman" w:cs="Times New Roman" w:eastAsia="Times New Roman" w:hAnsi="Times New Roman"/>
          <w:sz w:val="19"/>
          <w:szCs w:val="19"/>
          <w:b w:val="1"/>
          <w:bCs w:val="1"/>
          <w:color w:val="auto"/>
        </w:rPr>
        <w:t>[</w:t>
      </w:r>
      <w:r>
        <w:rPr>
          <w:rFonts w:ascii="Arial" w:cs="Arial" w:eastAsia="Arial" w:hAnsi="Arial"/>
          <w:sz w:val="19"/>
          <w:szCs w:val="19"/>
          <w:b w:val="1"/>
          <w:bCs w:val="1"/>
          <w:color w:val="auto"/>
        </w:rPr>
        <w:t>•</w:t>
      </w:r>
      <w:r>
        <w:rPr>
          <w:rFonts w:ascii="Times New Roman" w:cs="Times New Roman" w:eastAsia="Times New Roman" w:hAnsi="Times New Roman"/>
          <w:sz w:val="19"/>
          <w:szCs w:val="19"/>
          <w:b w:val="1"/>
          <w:bCs w:val="1"/>
          <w:color w:val="auto"/>
        </w:rPr>
        <w:t>], 2026</w:t>
      </w:r>
    </w:p>
    <w:p>
      <w:pPr>
        <w:spacing w:after="0" w:line="21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right="200" w:firstLine="757"/>
        <w:spacing w:after="0" w:line="259" w:lineRule="auto"/>
        <w:tabs>
          <w:tab w:leader="none" w:pos="146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(i) no additional awards may be granted under the Prior Plan; (ii) the Prior Plan’s Available Reserve plus any Returning Shares are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206" w:lineRule="exact"/>
        <w:rPr>
          <w:rFonts w:ascii="Times New Roman" w:cs="Times New Roman" w:eastAsia="Times New Roman" w:hAnsi="Times New Roman"/>
          <w:sz w:val="18"/>
          <w:szCs w:val="18"/>
          <w:b w:val="1"/>
          <w:bCs w:val="1"/>
          <w:color w:val="auto"/>
        </w:rPr>
      </w:pPr>
    </w:p>
    <w:p>
      <w:pPr>
        <w:ind w:right="120" w:firstLine="757"/>
        <w:spacing w:after="0" w:line="268" w:lineRule="auto"/>
        <w:tabs>
          <w:tab w:leader="none" w:pos="146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97" w:lineRule="exact"/>
        <w:rPr>
          <w:rFonts w:ascii="Times New Roman" w:cs="Times New Roman" w:eastAsia="Times New Roman" w:hAnsi="Times New Roman"/>
          <w:sz w:val="18"/>
          <w:szCs w:val="18"/>
          <w:b w:val="1"/>
          <w:bCs w:val="1"/>
          <w:color w:val="auto"/>
        </w:rPr>
      </w:pPr>
    </w:p>
    <w:p>
      <w:pPr>
        <w:ind w:right="400" w:firstLine="757"/>
        <w:spacing w:after="0" w:line="286" w:lineRule="auto"/>
        <w:tabs>
          <w:tab w:leader="none" w:pos="146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(iii) SARs; (iv) Restricted Stock Awards; (v) RSU Awards; (vi) Performance Awards; and (vii) Other Awards.</w:t>
      </w:r>
    </w:p>
    <w:p>
      <w:pPr>
        <w:spacing w:after="0" w:line="181"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Date.</w:t>
      </w:r>
    </w:p>
    <w:p>
      <w:pPr>
        <w:spacing w:after="0" w:line="229"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46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Capitalization Adjustments, the aggregate number of shares of Common Stock that may be issued pursuant to Awards will not exceed 8,606,723 shares, which is the sum of: (i) 2,555,271 shares, plus (ii) the Prior Plan’s Available Reserve, plus (iii) up to 2,148,679 Returning Shares, as such shares become available from time to time, plus (iv) 3,000,000 shares approved by the Company’s stockholders at the Company’s 2026 Annual Meeting of Stockholders. In addition, subject to any adjustments as necessary to implement any Capitalization Adjustments, such aggregate number of shares of Common Stock will automatically increase on January 1 of each year for a period of ten years commencing on January 1, 2023 and ending on (and including) January 1, 2032, in an amount equal to five percent (5%) of the total number of shares of Fully Diluted Stock outstanding on December 31 of the preceding year; provided, however, that the Board may act prior to January 1st of a given year to provide that the increase for such year will be a lesser number of shares of Common Stock.</w:t>
      </w:r>
    </w:p>
    <w:p>
      <w:pPr>
        <w:spacing w:after="0" w:line="215" w:lineRule="exact"/>
        <w:rPr>
          <w:rFonts w:ascii="Times New Roman" w:cs="Times New Roman" w:eastAsia="Times New Roman" w:hAnsi="Times New Roman"/>
          <w:sz w:val="18"/>
          <w:szCs w:val="18"/>
          <w:b w:val="1"/>
          <w:bCs w:val="1"/>
          <w:color w:val="auto"/>
        </w:rPr>
      </w:pPr>
    </w:p>
    <w:p>
      <w:pPr>
        <w:ind w:right="40" w:firstLine="757"/>
        <w:spacing w:after="0" w:line="268" w:lineRule="auto"/>
        <w:tabs>
          <w:tab w:leader="none" w:pos="1469"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16,820,169.</w:t>
      </w:r>
    </w:p>
    <w:p>
      <w:pPr>
        <w:spacing w:after="0" w:line="170"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52" w:lineRule="exact"/>
        <w:rPr>
          <w:rFonts w:ascii="Times New Roman" w:cs="Times New Roman" w:eastAsia="Times New Roman" w:hAnsi="Times New Roman"/>
          <w:sz w:val="18"/>
          <w:szCs w:val="18"/>
          <w:b w:val="1"/>
          <w:bCs w:val="1"/>
          <w:color w:val="auto"/>
        </w:rPr>
      </w:pPr>
    </w:p>
    <w:p>
      <w:pPr>
        <w:ind w:right="40" w:firstLine="1505"/>
        <w:spacing w:after="0" w:line="262" w:lineRule="auto"/>
        <w:tabs>
          <w:tab w:leader="none" w:pos="1857"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11" w:name="page12"/>
    <w:bookmarkEnd w:id="11"/>
    <w:p>
      <w:pPr>
        <w:ind w:right="120"/>
        <w:spacing w:after="0" w:line="261" w:lineRule="auto"/>
        <w:rPr>
          <w:sz w:val="20"/>
          <w:szCs w:val="20"/>
          <w:color w:val="auto"/>
        </w:rPr>
      </w:pPr>
      <w:r>
        <w:rPr>
          <w:rFonts w:ascii="Times New Roman" w:cs="Times New Roman" w:eastAsia="Times New Roman" w:hAnsi="Times New Roman"/>
          <w:sz w:val="18"/>
          <w:szCs w:val="18"/>
          <w:color w:val="auto"/>
        </w:rPr>
        <w:t>Section 303A.08, NYSE American Company Guide Section 711 or other applicable rule, and such issuance will not reduce the number of shares available for issuance under the Plan.</w:t>
      </w:r>
    </w:p>
    <w:p>
      <w:pPr>
        <w:ind w:right="20" w:firstLine="1505"/>
        <w:spacing w:after="0" w:line="250" w:lineRule="auto"/>
        <w:tabs>
          <w:tab w:leader="none" w:pos="1857"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w:t>
      </w:r>
    </w:p>
    <w:p>
      <w:pPr>
        <w:spacing w:after="0" w:line="1" w:lineRule="exact"/>
        <w:rPr>
          <w:rFonts w:ascii="Times New Roman" w:cs="Times New Roman" w:eastAsia="Times New Roman" w:hAnsi="Times New Roman"/>
          <w:sz w:val="18"/>
          <w:szCs w:val="18"/>
          <w:b w:val="1"/>
          <w:bCs w:val="1"/>
          <w:color w:val="auto"/>
        </w:rPr>
      </w:pPr>
    </w:p>
    <w:p>
      <w:pPr>
        <w:ind w:right="420" w:firstLine="8"/>
        <w:spacing w:after="0" w:line="255"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any portion of an Award in cash (i.e.,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208" w:lineRule="exact"/>
        <w:rPr>
          <w:rFonts w:ascii="Times New Roman" w:cs="Times New Roman" w:eastAsia="Times New Roman" w:hAnsi="Times New Roman"/>
          <w:sz w:val="18"/>
          <w:szCs w:val="18"/>
          <w:color w:val="auto"/>
        </w:rPr>
      </w:pPr>
    </w:p>
    <w:p>
      <w:pPr>
        <w:ind w:right="260" w:firstLine="1505"/>
        <w:spacing w:after="0" w:line="259" w:lineRule="auto"/>
        <w:tabs>
          <w:tab w:leader="none" w:pos="1857"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previously 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06" w:lineRule="exact"/>
        <w:rPr>
          <w:sz w:val="20"/>
          <w:szCs w:val="20"/>
          <w:color w:val="auto"/>
        </w:rPr>
      </w:pPr>
    </w:p>
    <w:p>
      <w:pPr>
        <w:ind w:left="360" w:hanging="352"/>
        <w:spacing w:after="0"/>
        <w:tabs>
          <w:tab w:leader="none" w:pos="3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imitations</w:t>
      </w: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52" w:lineRule="exact"/>
        <w:rPr>
          <w:rFonts w:ascii="Times New Roman" w:cs="Times New Roman" w:eastAsia="Times New Roman" w:hAnsi="Times New Roman"/>
          <w:sz w:val="18"/>
          <w:szCs w:val="18"/>
          <w:b w:val="1"/>
          <w:bCs w:val="1"/>
          <w:color w:val="auto"/>
        </w:rPr>
      </w:pPr>
    </w:p>
    <w:p>
      <w:pPr>
        <w:ind w:firstLine="1505"/>
        <w:spacing w:after="0" w:line="286" w:lineRule="auto"/>
        <w:tabs>
          <w:tab w:leader="none" w:pos="185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“parent corporation” or “subsidiary corporation” thereof (as such terms are defined in Sections 424(e) and (f) of the Code).</w:t>
      </w:r>
    </w:p>
    <w:p>
      <w:pPr>
        <w:spacing w:after="0" w:line="181" w:lineRule="exact"/>
        <w:rPr>
          <w:rFonts w:ascii="Times New Roman" w:cs="Times New Roman" w:eastAsia="Times New Roman" w:hAnsi="Times New Roman"/>
          <w:sz w:val="18"/>
          <w:szCs w:val="18"/>
          <w:b w:val="1"/>
          <w:bCs w:val="1"/>
          <w:color w:val="auto"/>
        </w:rPr>
      </w:pPr>
    </w:p>
    <w:p>
      <w:pPr>
        <w:ind w:right="180" w:firstLine="1505"/>
        <w:spacing w:after="0" w:line="256" w:lineRule="auto"/>
        <w:tabs>
          <w:tab w:leader="none" w:pos="185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the shares of Common Stock with respect to which Incentive Stock Options are exercisable for the first time by any Optionholder during any calendar year (under all plans of the Company and any “parent corporation” or “subsidiary corporation” thereof, as such terms are defined in Sections 424(e) and (f) of the Code) exceeds $100,000 (or such other limit established in the Code), or any Incentive Stock Options otherwise do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2" w:lineRule="exact"/>
        <w:rPr>
          <w:rFonts w:ascii="Times New Roman" w:cs="Times New Roman" w:eastAsia="Times New Roman" w:hAnsi="Times New Roman"/>
          <w:sz w:val="18"/>
          <w:szCs w:val="18"/>
          <w:b w:val="1"/>
          <w:bCs w:val="1"/>
          <w:color w:val="auto"/>
        </w:rPr>
      </w:pPr>
    </w:p>
    <w:p>
      <w:pPr>
        <w:ind w:right="20" w:firstLine="1505"/>
        <w:spacing w:after="0" w:line="268" w:lineRule="auto"/>
        <w:tabs>
          <w:tab w:leader="none" w:pos="185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197" w:lineRule="exact"/>
        <w:rPr>
          <w:rFonts w:ascii="Times New Roman" w:cs="Times New Roman" w:eastAsia="Times New Roman" w:hAnsi="Times New Roman"/>
          <w:sz w:val="18"/>
          <w:szCs w:val="18"/>
          <w:b w:val="1"/>
          <w:bCs w:val="1"/>
          <w:color w:val="auto"/>
        </w:rPr>
      </w:pPr>
    </w:p>
    <w:p>
      <w:pPr>
        <w:ind w:right="220" w:firstLine="1505"/>
        <w:spacing w:after="0" w:line="268" w:lineRule="auto"/>
        <w:tabs>
          <w:tab w:leader="none" w:pos="1857"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unless the stock underlying such Awards is treated as “service recipient stock” under Section 409A or unless such Awards otherwise comply with the requirements of Section 409A.</w:t>
      </w:r>
    </w:p>
    <w:p>
      <w:pPr>
        <w:spacing w:after="0" w:line="197" w:lineRule="exact"/>
        <w:rPr>
          <w:rFonts w:ascii="Times New Roman" w:cs="Times New Roman" w:eastAsia="Times New Roman" w:hAnsi="Times New Roman"/>
          <w:sz w:val="18"/>
          <w:szCs w:val="18"/>
          <w:b w:val="1"/>
          <w:bCs w:val="1"/>
          <w:color w:val="auto"/>
        </w:rPr>
      </w:pPr>
    </w:p>
    <w:p>
      <w:pPr>
        <w:ind w:right="100" w:firstLine="757"/>
        <w:spacing w:after="0" w:line="286" w:lineRule="auto"/>
        <w:tabs>
          <w:tab w:leader="none" w:pos="146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exercise of Incentive Stock Options is the number of shares specified in Section 2(b).</w:t>
      </w:r>
    </w:p>
    <w:p>
      <w:pPr>
        <w:spacing w:after="0" w:line="181" w:lineRule="exact"/>
        <w:rPr>
          <w:rFonts w:ascii="Times New Roman" w:cs="Times New Roman" w:eastAsia="Times New Roman" w:hAnsi="Times New Roman"/>
          <w:sz w:val="18"/>
          <w:szCs w:val="18"/>
          <w:b w:val="1"/>
          <w:bCs w:val="1"/>
          <w:color w:val="auto"/>
        </w:rPr>
      </w:pPr>
    </w:p>
    <w:p>
      <w:pPr>
        <w:ind w:right="180" w:firstLine="757"/>
        <w:spacing w:after="0" w:line="262" w:lineRule="auto"/>
        <w:tabs>
          <w:tab w:leader="none" w:pos="1469"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the IPO Date, to any individual for service as a Non-Employee Director with respect to any calendar year, including Awards granted and cash fees paid by the Company to such Non-Employee Director, for his or her service as a Non-Employee Director, will not exceed $750,000 in total value, calculating the value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ind w:right="440"/>
        <w:spacing w:after="0" w:line="282" w:lineRule="auto"/>
        <w:rPr>
          <w:sz w:val="20"/>
          <w:szCs w:val="20"/>
          <w:color w:val="auto"/>
        </w:rPr>
      </w:pPr>
      <w:r>
        <w:rPr>
          <w:rFonts w:ascii="Times New Roman" w:cs="Times New Roman" w:eastAsia="Times New Roman" w:hAnsi="Times New Roman"/>
          <w:sz w:val="18"/>
          <w:szCs w:val="18"/>
          <w:color w:val="auto"/>
        </w:rPr>
        <w:t>of any equity awards based on the grant date fair value of such equity awards for financial reporting purposes. The limitation in this Section 3(d) shall apply commencing with the first calendar year that begins following the Effective Date.</w:t>
      </w:r>
    </w:p>
    <w:p>
      <w:pPr>
        <w:spacing w:after="0" w:line="185" w:lineRule="exact"/>
        <w:rPr>
          <w:sz w:val="20"/>
          <w:szCs w:val="20"/>
          <w:color w:val="auto"/>
        </w:rPr>
      </w:pPr>
    </w:p>
    <w:p>
      <w:pPr>
        <w:ind w:left="360" w:hanging="352"/>
        <w:spacing w:after="0"/>
        <w:tabs>
          <w:tab w:leader="none" w:pos="3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10" w:lineRule="exact"/>
        <w:rPr>
          <w:sz w:val="20"/>
          <w:szCs w:val="20"/>
          <w:color w:val="auto"/>
        </w:rPr>
      </w:pPr>
    </w:p>
    <w:p>
      <w:pPr>
        <w:ind w:right="280" w:firstLine="757"/>
        <w:spacing w:after="0" w:line="286" w:lineRule="auto"/>
        <w:tabs>
          <w:tab w:leader="none" w:pos="146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from the date of grant of such Award or such shorter period specified in the Award Agreement.</w:t>
      </w:r>
    </w:p>
    <w:p>
      <w:pPr>
        <w:spacing w:after="0" w:line="181" w:lineRule="exact"/>
        <w:rPr>
          <w:rFonts w:ascii="Times New Roman" w:cs="Times New Roman" w:eastAsia="Times New Roman" w:hAnsi="Times New Roman"/>
          <w:sz w:val="18"/>
          <w:szCs w:val="18"/>
          <w:b w:val="1"/>
          <w:bCs w:val="1"/>
          <w:color w:val="auto"/>
        </w:rPr>
      </w:pPr>
    </w:p>
    <w:p>
      <w:pPr>
        <w:ind w:right="120" w:firstLine="757"/>
        <w:spacing w:after="0" w:line="259" w:lineRule="auto"/>
        <w:tabs>
          <w:tab w:leader="none" w:pos="146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206" w:lineRule="exact"/>
        <w:rPr>
          <w:rFonts w:ascii="Times New Roman" w:cs="Times New Roman" w:eastAsia="Times New Roman" w:hAnsi="Times New Roman"/>
          <w:sz w:val="18"/>
          <w:szCs w:val="18"/>
          <w:b w:val="1"/>
          <w:bCs w:val="1"/>
          <w:color w:val="auto"/>
        </w:rPr>
      </w:pPr>
    </w:p>
    <w:p>
      <w:pPr>
        <w:ind w:right="20" w:firstLine="757"/>
        <w:spacing w:after="0" w:line="257" w:lineRule="auto"/>
        <w:tabs>
          <w:tab w:leader="none" w:pos="1469"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213"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52" w:lineRule="exact"/>
        <w:rPr>
          <w:rFonts w:ascii="Times New Roman" w:cs="Times New Roman" w:eastAsia="Times New Roman" w:hAnsi="Times New Roman"/>
          <w:sz w:val="18"/>
          <w:szCs w:val="18"/>
          <w:b w:val="1"/>
          <w:bCs w:val="1"/>
          <w:color w:val="auto"/>
        </w:rPr>
      </w:pPr>
    </w:p>
    <w:p>
      <w:pPr>
        <w:ind w:right="40" w:firstLine="1505"/>
        <w:spacing w:after="0" w:line="266" w:lineRule="auto"/>
        <w:tabs>
          <w:tab w:leader="none" w:pos="185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202" w:lineRule="exact"/>
        <w:rPr>
          <w:rFonts w:ascii="Times New Roman" w:cs="Times New Roman" w:eastAsia="Times New Roman" w:hAnsi="Times New Roman"/>
          <w:sz w:val="18"/>
          <w:szCs w:val="18"/>
          <w:b w:val="1"/>
          <w:bCs w:val="1"/>
          <w:color w:val="auto"/>
        </w:rPr>
      </w:pPr>
    </w:p>
    <w:p>
      <w:pPr>
        <w:ind w:right="60" w:firstLine="1505"/>
        <w:spacing w:after="0" w:line="255" w:lineRule="auto"/>
        <w:tabs>
          <w:tab w:leader="none" w:pos="185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215" w:lineRule="exact"/>
        <w:rPr>
          <w:rFonts w:ascii="Times New Roman" w:cs="Times New Roman" w:eastAsia="Times New Roman" w:hAnsi="Times New Roman"/>
          <w:sz w:val="18"/>
          <w:szCs w:val="18"/>
          <w:b w:val="1"/>
          <w:bCs w:val="1"/>
          <w:color w:val="auto"/>
        </w:rPr>
      </w:pPr>
    </w:p>
    <w:p>
      <w:pPr>
        <w:jc w:val="both"/>
        <w:ind w:right="320" w:firstLine="1505"/>
        <w:spacing w:after="0" w:line="261" w:lineRule="auto"/>
        <w:tabs>
          <w:tab w:leader="none" w:pos="185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ind w:left="1103" w:hanging="355"/>
        <w:spacing w:after="0"/>
        <w:tabs>
          <w:tab w:leader="none" w:pos="110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48" w:lineRule="exact"/>
        <w:rPr>
          <w:rFonts w:ascii="Times New Roman" w:cs="Times New Roman" w:eastAsia="Times New Roman" w:hAnsi="Times New Roman"/>
          <w:sz w:val="18"/>
          <w:szCs w:val="18"/>
          <w:b w:val="1"/>
          <w:bCs w:val="1"/>
          <w:color w:val="auto"/>
        </w:rPr>
      </w:pPr>
    </w:p>
    <w:p>
      <w:pPr>
        <w:ind w:left="-757" w:firstLine="757"/>
        <w:spacing w:after="0" w:line="257" w:lineRule="auto"/>
        <w:tabs>
          <w:tab w:leader="none" w:pos="7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209" w:lineRule="exact"/>
        <w:rPr>
          <w:rFonts w:ascii="Times New Roman" w:cs="Times New Roman" w:eastAsia="Times New Roman" w:hAnsi="Times New Roman"/>
          <w:sz w:val="18"/>
          <w:szCs w:val="18"/>
          <w:b w:val="1"/>
          <w:bCs w:val="1"/>
          <w:color w:val="auto"/>
        </w:rPr>
      </w:pPr>
    </w:p>
    <w:p>
      <w:pPr>
        <w:ind w:left="-757" w:right="140" w:firstLine="757"/>
        <w:spacing w:after="0" w:line="259" w:lineRule="auto"/>
        <w:tabs>
          <w:tab w:leader="none" w:pos="712"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provided, further, that if an Option is an Incentive Stock Option, such Option may be deemed to be a Nonstatutory Stock Option as a result of such transfer:</w:t>
      </w:r>
    </w:p>
    <w:p>
      <w:pPr>
        <w:spacing w:after="0" w:line="210" w:lineRule="exact"/>
        <w:rPr>
          <w:rFonts w:ascii="Times New Roman" w:cs="Times New Roman" w:eastAsia="Times New Roman" w:hAnsi="Times New Roman"/>
          <w:sz w:val="18"/>
          <w:szCs w:val="18"/>
          <w:b w:val="1"/>
          <w:bCs w:val="1"/>
          <w:color w:val="auto"/>
        </w:rPr>
      </w:pPr>
    </w:p>
    <w:p>
      <w:pPr>
        <w:ind w:left="-757" w:firstLine="1505"/>
        <w:spacing w:after="0" w:line="258" w:lineRule="auto"/>
        <w:tabs>
          <w:tab w:leader="none" w:pos="1101"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Restrictions on Transfer. An Option or SAR will not be transferable, except by will or by the laws of descent and 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210" w:lineRule="exact"/>
        <w:rPr>
          <w:sz w:val="20"/>
          <w:szCs w:val="20"/>
          <w:color w:val="auto"/>
        </w:rPr>
      </w:pPr>
    </w:p>
    <w:p>
      <w:pPr>
        <w:jc w:val="both"/>
        <w:ind w:left="-757" w:right="540" w:firstLine="1505"/>
        <w:spacing w:after="0" w:line="266" w:lineRule="auto"/>
        <w:tabs>
          <w:tab w:leader="none" w:pos="110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Domestic Relations Orders. Notwithstanding the foregoing, subject to the execution of transfer documentation in a format acceptable to the Company and subject to the approval of the Board or a duly authorized Officer, an Option or SAR may be transferred pursuant to a domestic relations order.</w:t>
      </w:r>
    </w:p>
    <w:p>
      <w:pPr>
        <w:spacing w:after="0" w:line="198" w:lineRule="exact"/>
        <w:rPr>
          <w:rFonts w:ascii="Times New Roman" w:cs="Times New Roman" w:eastAsia="Times New Roman" w:hAnsi="Times New Roman"/>
          <w:sz w:val="18"/>
          <w:szCs w:val="18"/>
          <w:b w:val="1"/>
          <w:bCs w:val="1"/>
          <w:color w:val="auto"/>
        </w:rPr>
      </w:pPr>
    </w:p>
    <w:p>
      <w:pPr>
        <w:ind w:left="-757" w:right="140" w:firstLine="757"/>
        <w:spacing w:after="0" w:line="268" w:lineRule="auto"/>
        <w:tabs>
          <w:tab w:leader="none" w:pos="7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197" w:lineRule="exact"/>
        <w:rPr>
          <w:rFonts w:ascii="Times New Roman" w:cs="Times New Roman" w:eastAsia="Times New Roman" w:hAnsi="Times New Roman"/>
          <w:sz w:val="18"/>
          <w:szCs w:val="18"/>
          <w:b w:val="1"/>
          <w:bCs w:val="1"/>
          <w:color w:val="auto"/>
        </w:rPr>
      </w:pPr>
    </w:p>
    <w:p>
      <w:pPr>
        <w:ind w:left="-757" w:right="80" w:firstLine="757"/>
        <w:spacing w:after="0" w:line="257" w:lineRule="auto"/>
        <w:tabs>
          <w:tab w:leader="none" w:pos="7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209" w:lineRule="exact"/>
        <w:rPr>
          <w:rFonts w:ascii="Times New Roman" w:cs="Times New Roman" w:eastAsia="Times New Roman" w:hAnsi="Times New Roman"/>
          <w:sz w:val="18"/>
          <w:szCs w:val="18"/>
          <w:b w:val="1"/>
          <w:bCs w:val="1"/>
          <w:color w:val="auto"/>
        </w:rPr>
      </w:pPr>
    </w:p>
    <w:p>
      <w:pPr>
        <w:ind w:left="-757" w:firstLine="757"/>
        <w:spacing w:after="0" w:line="259" w:lineRule="auto"/>
        <w:tabs>
          <w:tab w:leader="none" w:pos="712"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210" w:lineRule="exact"/>
        <w:rPr>
          <w:rFonts w:ascii="Times New Roman" w:cs="Times New Roman" w:eastAsia="Times New Roman" w:hAnsi="Times New Roman"/>
          <w:sz w:val="18"/>
          <w:szCs w:val="18"/>
          <w:b w:val="1"/>
          <w:bCs w:val="1"/>
          <w:color w:val="auto"/>
        </w:rPr>
      </w:pPr>
    </w:p>
    <w:p>
      <w:pPr>
        <w:ind w:left="-757" w:right="860" w:firstLine="1505"/>
        <w:spacing w:after="0" w:line="282" w:lineRule="auto"/>
        <w:tabs>
          <w:tab w:leader="none" w:pos="1101"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189" w:lineRule="exact"/>
        <w:rPr>
          <w:sz w:val="20"/>
          <w:szCs w:val="20"/>
          <w:color w:val="auto"/>
        </w:rPr>
      </w:pPr>
    </w:p>
    <w:p>
      <w:pPr>
        <w:ind w:left="1103" w:hanging="355"/>
        <w:spacing w:after="0"/>
        <w:tabs>
          <w:tab w:leader="none" w:pos="110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25" w:lineRule="exact"/>
        <w:rPr>
          <w:rFonts w:ascii="Times New Roman" w:cs="Times New Roman" w:eastAsia="Times New Roman" w:hAnsi="Times New Roman"/>
          <w:sz w:val="18"/>
          <w:szCs w:val="18"/>
          <w:b w:val="1"/>
          <w:bCs w:val="1"/>
          <w:color w:val="auto"/>
        </w:rPr>
      </w:pPr>
    </w:p>
    <w:p>
      <w:pPr>
        <w:ind w:left="4723"/>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621665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7" w:right="339" w:bottom="1440" w:gutter="0" w:footer="0" w:header="0"/>
        </w:sectPr>
      </w:pPr>
    </w:p>
    <w:bookmarkStart w:id="14" w:name="page15"/>
    <w:bookmarkEnd w:id="14"/>
    <w:p>
      <w:pPr>
        <w:spacing w:after="0" w:line="221" w:lineRule="exact"/>
        <w:rPr>
          <w:sz w:val="20"/>
          <w:szCs w:val="20"/>
          <w:color w:val="auto"/>
        </w:rPr>
      </w:pPr>
    </w:p>
    <w:p>
      <w:pPr>
        <w:ind w:left="1860" w:hanging="355"/>
        <w:spacing w:after="0"/>
        <w:tabs>
          <w:tab w:leader="none" w:pos="18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52" w:lineRule="exact"/>
        <w:rPr>
          <w:rFonts w:ascii="Times New Roman" w:cs="Times New Roman" w:eastAsia="Times New Roman" w:hAnsi="Times New Roman"/>
          <w:sz w:val="18"/>
          <w:szCs w:val="18"/>
          <w:b w:val="1"/>
          <w:bCs w:val="1"/>
          <w:color w:val="auto"/>
        </w:rPr>
      </w:pPr>
    </w:p>
    <w:p>
      <w:pPr>
        <w:ind w:right="80" w:firstLine="1505"/>
        <w:spacing w:after="0" w:line="282" w:lineRule="auto"/>
        <w:tabs>
          <w:tab w:leader="none" w:pos="185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76" w:lineRule="exact"/>
        <w:rPr>
          <w:sz w:val="20"/>
          <w:szCs w:val="20"/>
          <w:color w:val="auto"/>
        </w:rPr>
      </w:pPr>
    </w:p>
    <w:p>
      <w:pPr>
        <w:ind w:firstLine="757"/>
        <w:spacing w:after="0" w:line="254" w:lineRule="auto"/>
        <w:tabs>
          <w:tab w:leader="none" w:pos="146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12" w:lineRule="exact"/>
        <w:rPr>
          <w:rFonts w:ascii="Times New Roman" w:cs="Times New Roman" w:eastAsia="Times New Roman" w:hAnsi="Times New Roman"/>
          <w:sz w:val="18"/>
          <w:szCs w:val="18"/>
          <w:b w:val="1"/>
          <w:bCs w:val="1"/>
          <w:color w:val="auto"/>
        </w:rPr>
      </w:pPr>
    </w:p>
    <w:p>
      <w:pPr>
        <w:ind w:right="40" w:firstLine="757"/>
        <w:spacing w:after="0" w:line="255" w:lineRule="auto"/>
        <w:tabs>
          <w:tab w:leader="none" w:pos="1469"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211"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52"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right="200" w:firstLine="757"/>
        <w:spacing w:after="0" w:line="268" w:lineRule="auto"/>
        <w:tabs>
          <w:tab w:leader="none" w:pos="146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97"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256" w:lineRule="exact"/>
        <w:rPr>
          <w:rFonts w:ascii="Times New Roman" w:cs="Times New Roman" w:eastAsia="Times New Roman" w:hAnsi="Times New Roman"/>
          <w:sz w:val="18"/>
          <w:szCs w:val="18"/>
          <w:b w:val="1"/>
          <w:bCs w:val="1"/>
          <w:color w:val="auto"/>
        </w:rPr>
      </w:pPr>
    </w:p>
    <w:p>
      <w:pPr>
        <w:ind w:right="80" w:firstLine="2067"/>
        <w:spacing w:after="0" w:line="258" w:lineRule="auto"/>
        <w:tabs>
          <w:tab w:leader="none" w:pos="2419" w:val="left"/>
        </w:tabs>
        <w:numPr>
          <w:ilvl w:val="3"/>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221" w:lineRule="exact"/>
        <w:rPr>
          <w:sz w:val="20"/>
          <w:szCs w:val="20"/>
          <w:color w:val="auto"/>
        </w:rPr>
      </w:pPr>
    </w:p>
    <w:p>
      <w:pPr>
        <w:ind w:left="-20" w:firstLine="2067"/>
        <w:spacing w:after="0" w:line="256" w:lineRule="auto"/>
        <w:tabs>
          <w:tab w:leader="none" w:pos="2399" w:val="left"/>
        </w:tabs>
        <w:numPr>
          <w:ilvl w:val="2"/>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10" w:lineRule="exact"/>
        <w:rPr>
          <w:rFonts w:ascii="Times New Roman" w:cs="Times New Roman" w:eastAsia="Times New Roman" w:hAnsi="Times New Roman"/>
          <w:sz w:val="18"/>
          <w:szCs w:val="18"/>
          <w:b w:val="1"/>
          <w:bCs w:val="1"/>
          <w:color w:val="auto"/>
        </w:rPr>
      </w:pPr>
    </w:p>
    <w:p>
      <w:pPr>
        <w:ind w:left="1840" w:hanging="355"/>
        <w:spacing w:after="0"/>
        <w:tabs>
          <w:tab w:leader="none" w:pos="1840"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256" w:lineRule="exact"/>
        <w:rPr>
          <w:rFonts w:ascii="Times New Roman" w:cs="Times New Roman" w:eastAsia="Times New Roman" w:hAnsi="Times New Roman"/>
          <w:sz w:val="18"/>
          <w:szCs w:val="18"/>
          <w:b w:val="1"/>
          <w:bCs w:val="1"/>
          <w:color w:val="auto"/>
        </w:rPr>
      </w:pPr>
    </w:p>
    <w:p>
      <w:pPr>
        <w:jc w:val="both"/>
        <w:ind w:left="-20" w:right="60" w:firstLine="2067"/>
        <w:spacing w:after="0" w:line="266" w:lineRule="auto"/>
        <w:tabs>
          <w:tab w:leader="none" w:pos="2399"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202" w:lineRule="exact"/>
        <w:rPr>
          <w:rFonts w:ascii="Times New Roman" w:cs="Times New Roman" w:eastAsia="Times New Roman" w:hAnsi="Times New Roman"/>
          <w:sz w:val="18"/>
          <w:szCs w:val="18"/>
          <w:b w:val="1"/>
          <w:bCs w:val="1"/>
          <w:color w:val="auto"/>
        </w:rPr>
      </w:pPr>
    </w:p>
    <w:p>
      <w:pPr>
        <w:ind w:left="-20" w:right="60" w:firstLine="2067"/>
        <w:spacing w:after="0" w:line="256" w:lineRule="auto"/>
        <w:tabs>
          <w:tab w:leader="none" w:pos="2399"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10" w:lineRule="exact"/>
        <w:rPr>
          <w:rFonts w:ascii="Times New Roman" w:cs="Times New Roman" w:eastAsia="Times New Roman" w:hAnsi="Times New Roman"/>
          <w:sz w:val="18"/>
          <w:szCs w:val="18"/>
          <w:b w:val="1"/>
          <w:bCs w:val="1"/>
          <w:color w:val="auto"/>
        </w:rPr>
      </w:pPr>
    </w:p>
    <w:p>
      <w:pPr>
        <w:jc w:val="both"/>
        <w:ind w:left="-20" w:right="120" w:firstLine="1505"/>
        <w:spacing w:after="0" w:line="268" w:lineRule="auto"/>
        <w:tabs>
          <w:tab w:leader="none" w:pos="183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97" w:lineRule="exact"/>
        <w:rPr>
          <w:rFonts w:ascii="Times New Roman" w:cs="Times New Roman" w:eastAsia="Times New Roman" w:hAnsi="Times New Roman"/>
          <w:sz w:val="18"/>
          <w:szCs w:val="18"/>
          <w:b w:val="1"/>
          <w:bCs w:val="1"/>
          <w:color w:val="auto"/>
        </w:rPr>
      </w:pPr>
    </w:p>
    <w:p>
      <w:pPr>
        <w:ind w:left="-20" w:firstLine="1505"/>
        <w:spacing w:after="0" w:line="253" w:lineRule="auto"/>
        <w:tabs>
          <w:tab w:leader="none" w:pos="183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4" w:lineRule="exact"/>
        <w:rPr>
          <w:rFonts w:ascii="Times New Roman" w:cs="Times New Roman" w:eastAsia="Times New Roman" w:hAnsi="Times New Roman"/>
          <w:sz w:val="18"/>
          <w:szCs w:val="18"/>
          <w:b w:val="1"/>
          <w:bCs w:val="1"/>
          <w:color w:val="auto"/>
        </w:rPr>
      </w:pPr>
    </w:p>
    <w:p>
      <w:pPr>
        <w:ind w:left="-20" w:right="60" w:firstLine="1505"/>
        <w:spacing w:after="0" w:line="260" w:lineRule="auto"/>
        <w:tabs>
          <w:tab w:leader="none" w:pos="183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Common Stock subject to a Restricted Stock Award or RSU Award, as determined by the Board and specified in the Award Agreement.</w:t>
      </w:r>
    </w:p>
    <w:p>
      <w:pPr>
        <w:spacing w:after="0" w:line="204" w:lineRule="exact"/>
        <w:rPr>
          <w:rFonts w:ascii="Times New Roman" w:cs="Times New Roman" w:eastAsia="Times New Roman" w:hAnsi="Times New Roman"/>
          <w:sz w:val="18"/>
          <w:szCs w:val="18"/>
          <w:b w:val="1"/>
          <w:bCs w:val="1"/>
          <w:color w:val="auto"/>
        </w:rPr>
      </w:pPr>
    </w:p>
    <w:p>
      <w:pPr>
        <w:ind w:left="-20" w:right="240" w:firstLine="1505"/>
        <w:spacing w:after="0" w:line="268" w:lineRule="auto"/>
        <w:tabs>
          <w:tab w:leader="none" w:pos="1837" w:val="left"/>
        </w:tabs>
        <w:numPr>
          <w:ilvl w:val="1"/>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Settlement of RSU Awards. </w:t>
      </w:r>
      <w:r>
        <w:rPr>
          <w:rFonts w:ascii="Times New Roman" w:cs="Times New Roman" w:eastAsia="Times New Roman" w:hAnsi="Times New Roman"/>
          <w:sz w:val="18"/>
          <w:szCs w:val="18"/>
          <w:color w:val="auto"/>
        </w:rPr>
        <w:t>An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70" w:lineRule="exact"/>
        <w:rPr>
          <w:rFonts w:ascii="Times New Roman" w:cs="Times New Roman" w:eastAsia="Times New Roman" w:hAnsi="Times New Roman"/>
          <w:sz w:val="18"/>
          <w:szCs w:val="18"/>
          <w:b w:val="1"/>
          <w:bCs w:val="1"/>
          <w:color w:val="auto"/>
        </w:rPr>
      </w:pPr>
    </w:p>
    <w:p>
      <w:pPr>
        <w:ind w:left="-20" w:right="120" w:firstLine="757"/>
        <w:spacing w:after="0" w:line="268" w:lineRule="auto"/>
        <w:tabs>
          <w:tab w:leader="none" w:pos="144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Awards. </w:t>
      </w:r>
      <w:r>
        <w:rPr>
          <w:rFonts w:ascii="Times New Roman" w:cs="Times New Roman" w:eastAsia="Times New Roman" w:hAnsi="Times New Roman"/>
          <w:sz w:val="18"/>
          <w:szCs w:val="18"/>
          <w:color w:val="auto"/>
        </w:rPr>
        <w:t>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197" w:lineRule="exact"/>
        <w:rPr>
          <w:rFonts w:ascii="Times New Roman" w:cs="Times New Roman" w:eastAsia="Times New Roman" w:hAnsi="Times New Roman"/>
          <w:sz w:val="18"/>
          <w:szCs w:val="18"/>
          <w:b w:val="1"/>
          <w:bCs w:val="1"/>
          <w:color w:val="auto"/>
        </w:rPr>
      </w:pPr>
    </w:p>
    <w:p>
      <w:pPr>
        <w:jc w:val="both"/>
        <w:ind w:left="-20" w:right="200" w:firstLine="757"/>
        <w:spacing w:after="0" w:line="268" w:lineRule="auto"/>
        <w:tabs>
          <w:tab w:leader="none" w:pos="144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appreciation in value thereof, may be granted either alone or in addition to Awards provided for under Section 4 and the preceding provisions of this Section 5. Subject to the provisions of the Plan,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621665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16" w:name="page17"/>
    <w:bookmarkEnd w:id="16"/>
    <w:p>
      <w:pPr>
        <w:spacing w:after="0" w:line="266" w:lineRule="auto"/>
        <w:rPr>
          <w:sz w:val="20"/>
          <w:szCs w:val="20"/>
          <w:color w:val="auto"/>
        </w:rPr>
      </w:pPr>
      <w:r>
        <w:rPr>
          <w:rFonts w:ascii="Times New Roman" w:cs="Times New Roman" w:eastAsia="Times New Roman" w:hAnsi="Times New Roman"/>
          <w:sz w:val="18"/>
          <w:szCs w:val="18"/>
          <w:color w:val="auto"/>
        </w:rPr>
        <w:t>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99" w:lineRule="exact"/>
        <w:rPr>
          <w:sz w:val="20"/>
          <w:szCs w:val="20"/>
          <w:color w:val="auto"/>
        </w:rPr>
      </w:pPr>
    </w:p>
    <w:p>
      <w:pPr>
        <w:ind w:left="360" w:hanging="352"/>
        <w:spacing w:after="0"/>
        <w:tabs>
          <w:tab w:leader="none" w:pos="3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b w:val="1"/>
          <w:bCs w:val="1"/>
          <w:color w:val="auto"/>
        </w:rPr>
        <w:t>.</w:t>
      </w:r>
    </w:p>
    <w:p>
      <w:pPr>
        <w:spacing w:after="0" w:line="252" w:lineRule="exact"/>
        <w:rPr>
          <w:rFonts w:ascii="Times New Roman" w:cs="Times New Roman" w:eastAsia="Times New Roman" w:hAnsi="Times New Roman"/>
          <w:sz w:val="18"/>
          <w:szCs w:val="18"/>
          <w:b w:val="1"/>
          <w:bCs w:val="1"/>
          <w:color w:val="auto"/>
        </w:rPr>
      </w:pPr>
    </w:p>
    <w:p>
      <w:pPr>
        <w:ind w:right="20" w:firstLine="757"/>
        <w:spacing w:after="0" w:line="255" w:lineRule="auto"/>
        <w:tabs>
          <w:tab w:leader="none" w:pos="146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shall appropriately and proportionately adjust: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211" w:lineRule="exact"/>
        <w:rPr>
          <w:rFonts w:ascii="Times New Roman" w:cs="Times New Roman" w:eastAsia="Times New Roman" w:hAnsi="Times New Roman"/>
          <w:sz w:val="18"/>
          <w:szCs w:val="18"/>
          <w:b w:val="1"/>
          <w:bCs w:val="1"/>
          <w:color w:val="auto"/>
        </w:rPr>
      </w:pPr>
    </w:p>
    <w:p>
      <w:pPr>
        <w:ind w:right="40" w:firstLine="757"/>
        <w:spacing w:after="0" w:line="256" w:lineRule="auto"/>
        <w:tabs>
          <w:tab w:leader="none" w:pos="146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09" w:lineRule="exact"/>
        <w:rPr>
          <w:rFonts w:ascii="Times New Roman" w:cs="Times New Roman" w:eastAsia="Times New Roman" w:hAnsi="Times New Roman"/>
          <w:sz w:val="18"/>
          <w:szCs w:val="18"/>
          <w:b w:val="1"/>
          <w:bCs w:val="1"/>
          <w:color w:val="auto"/>
        </w:rPr>
      </w:pPr>
    </w:p>
    <w:p>
      <w:pPr>
        <w:ind w:right="80" w:firstLine="757"/>
        <w:spacing w:after="0" w:line="268" w:lineRule="auto"/>
        <w:tabs>
          <w:tab w:leader="none" w:pos="1469"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97" w:lineRule="exact"/>
        <w:rPr>
          <w:rFonts w:ascii="Times New Roman" w:cs="Times New Roman" w:eastAsia="Times New Roman" w:hAnsi="Times New Roman"/>
          <w:sz w:val="18"/>
          <w:szCs w:val="18"/>
          <w:b w:val="1"/>
          <w:bCs w:val="1"/>
          <w:color w:val="auto"/>
        </w:rPr>
      </w:pPr>
    </w:p>
    <w:p>
      <w:pPr>
        <w:ind w:right="20" w:firstLine="1505"/>
        <w:spacing w:after="0" w:line="255" w:lineRule="auto"/>
        <w:tabs>
          <w:tab w:leader="none" w:pos="1857"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continue, or substitute the Awards held by some, but not all Participants. The terms of any assumption, continuation or substitution will be set by the Board.</w:t>
      </w:r>
    </w:p>
    <w:p>
      <w:pPr>
        <w:spacing w:after="0" w:line="211" w:lineRule="exact"/>
        <w:rPr>
          <w:rFonts w:ascii="Times New Roman" w:cs="Times New Roman" w:eastAsia="Times New Roman" w:hAnsi="Times New Roman"/>
          <w:sz w:val="18"/>
          <w:szCs w:val="18"/>
          <w:b w:val="1"/>
          <w:bCs w:val="1"/>
          <w:color w:val="auto"/>
        </w:rPr>
      </w:pPr>
    </w:p>
    <w:p>
      <w:pPr>
        <w:ind w:right="20" w:firstLine="1505"/>
        <w:spacing w:after="0" w:line="254" w:lineRule="auto"/>
        <w:tabs>
          <w:tab w:leader="none" w:pos="1857" w:val="left"/>
        </w:tabs>
        <w:numPr>
          <w:ilvl w:val="2"/>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right="60"/>
        <w:spacing w:after="0" w:line="261" w:lineRule="auto"/>
        <w:rPr>
          <w:sz w:val="20"/>
          <w:szCs w:val="20"/>
          <w:color w:val="auto"/>
        </w:rPr>
      </w:pPr>
      <w:r>
        <w:rPr>
          <w:rFonts w:ascii="Times New Roman" w:cs="Times New Roman" w:eastAsia="Times New Roman" w:hAnsi="Times New Roman"/>
          <w:sz w:val="18"/>
          <w:szCs w:val="18"/>
          <w:color w:val="auto"/>
        </w:rPr>
        <w:t>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203" w:lineRule="exact"/>
        <w:rPr>
          <w:sz w:val="20"/>
          <w:szCs w:val="20"/>
          <w:color w:val="auto"/>
        </w:rPr>
      </w:pPr>
    </w:p>
    <w:p>
      <w:pPr>
        <w:ind w:right="180" w:firstLine="1505"/>
        <w:spacing w:after="0" w:line="257" w:lineRule="auto"/>
        <w:tabs>
          <w:tab w:leader="none" w:pos="1857"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9" w:lineRule="exact"/>
        <w:rPr>
          <w:rFonts w:ascii="Times New Roman" w:cs="Times New Roman" w:eastAsia="Times New Roman" w:hAnsi="Times New Roman"/>
          <w:sz w:val="18"/>
          <w:szCs w:val="18"/>
          <w:b w:val="1"/>
          <w:bCs w:val="1"/>
          <w:color w:val="auto"/>
        </w:rPr>
      </w:pPr>
    </w:p>
    <w:p>
      <w:pPr>
        <w:ind w:right="40" w:firstLine="1505"/>
        <w:spacing w:after="0" w:line="259" w:lineRule="auto"/>
        <w:tabs>
          <w:tab w:leader="none" w:pos="1857" w:val="left"/>
        </w:tabs>
        <w:numPr>
          <w:ilvl w:val="2"/>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206" w:lineRule="exact"/>
        <w:rPr>
          <w:rFonts w:ascii="Times New Roman" w:cs="Times New Roman" w:eastAsia="Times New Roman" w:hAnsi="Times New Roman"/>
          <w:sz w:val="18"/>
          <w:szCs w:val="18"/>
          <w:b w:val="1"/>
          <w:bCs w:val="1"/>
          <w:color w:val="auto"/>
        </w:rPr>
      </w:pPr>
    </w:p>
    <w:p>
      <w:pPr>
        <w:jc w:val="both"/>
        <w:ind w:right="40" w:firstLine="757"/>
        <w:spacing w:after="0" w:line="262" w:lineRule="auto"/>
        <w:tabs>
          <w:tab w:leader="none" w:pos="146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76"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469"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9"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b w:val="1"/>
          <w:bCs w:val="1"/>
          <w:color w:val="auto"/>
        </w:rPr>
      </w:pPr>
    </w:p>
    <w:p>
      <w:pPr>
        <w:ind w:right="360" w:firstLine="757"/>
        <w:spacing w:after="0" w:line="286" w:lineRule="auto"/>
        <w:tabs>
          <w:tab w:leader="none" w:pos="1469"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181"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56" w:lineRule="exact"/>
        <w:rPr>
          <w:rFonts w:ascii="Times New Roman" w:cs="Times New Roman" w:eastAsia="Times New Roman" w:hAnsi="Times New Roman"/>
          <w:sz w:val="18"/>
          <w:szCs w:val="18"/>
          <w:b w:val="1"/>
          <w:bCs w:val="1"/>
          <w:color w:val="auto"/>
        </w:rPr>
      </w:pPr>
    </w:p>
    <w:p>
      <w:pPr>
        <w:ind w:firstLine="1505"/>
        <w:spacing w:after="0" w:line="256" w:lineRule="auto"/>
        <w:tabs>
          <w:tab w:leader="none" w:pos="1857"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214" w:lineRule="exact"/>
        <w:rPr>
          <w:rFonts w:ascii="Times New Roman" w:cs="Times New Roman" w:eastAsia="Times New Roman" w:hAnsi="Times New Roman"/>
          <w:sz w:val="18"/>
          <w:szCs w:val="18"/>
          <w:b w:val="1"/>
          <w:bCs w:val="1"/>
          <w:color w:val="auto"/>
        </w:rPr>
      </w:pPr>
    </w:p>
    <w:p>
      <w:pPr>
        <w:ind w:right="200" w:firstLine="1505"/>
        <w:spacing w:after="0" w:line="282" w:lineRule="auto"/>
        <w:tabs>
          <w:tab w:leader="none" w:pos="1857"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 w:name="page19"/>
    <w:bookmarkEnd w:id="18"/>
    <w:p>
      <w:pPr>
        <w:ind w:right="500"/>
        <w:spacing w:after="0" w:line="282" w:lineRule="auto"/>
        <w:rPr>
          <w:sz w:val="20"/>
          <w:szCs w:val="20"/>
          <w:color w:val="auto"/>
        </w:rPr>
      </w:pPr>
      <w:r>
        <w:rPr>
          <w:rFonts w:ascii="Times New Roman" w:cs="Times New Roman" w:eastAsia="Times New Roman" w:hAnsi="Times New Roman"/>
          <w:sz w:val="18"/>
          <w:szCs w:val="18"/>
          <w:color w:val="auto"/>
        </w:rPr>
        <w:t>omission or inconsistency in the Plan or in any Award Agreement, in a manner and to the extent it deems necessary or expedient to make the Plan or Award fully effective.</w:t>
      </w:r>
    </w:p>
    <w:p>
      <w:pPr>
        <w:spacing w:after="0" w:line="189" w:lineRule="exact"/>
        <w:rPr>
          <w:sz w:val="20"/>
          <w:szCs w:val="20"/>
          <w:color w:val="auto"/>
        </w:rPr>
      </w:pPr>
    </w:p>
    <w:p>
      <w:pPr>
        <w:ind w:left="1860" w:hanging="355"/>
        <w:spacing w:after="0"/>
        <w:tabs>
          <w:tab w:leader="none" w:pos="18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52" w:lineRule="exact"/>
        <w:rPr>
          <w:rFonts w:ascii="Times New Roman" w:cs="Times New Roman" w:eastAsia="Times New Roman" w:hAnsi="Times New Roman"/>
          <w:sz w:val="18"/>
          <w:szCs w:val="18"/>
          <w:b w:val="1"/>
          <w:bCs w:val="1"/>
          <w:color w:val="auto"/>
        </w:rPr>
      </w:pPr>
    </w:p>
    <w:p>
      <w:pPr>
        <w:ind w:right="60" w:firstLine="1505"/>
        <w:spacing w:after="0" w:line="282"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88" w:lineRule="exact"/>
        <w:rPr>
          <w:rFonts w:ascii="Times New Roman" w:cs="Times New Roman" w:eastAsia="Times New Roman" w:hAnsi="Times New Roman"/>
          <w:sz w:val="18"/>
          <w:szCs w:val="18"/>
          <w:b w:val="1"/>
          <w:bCs w:val="1"/>
          <w:color w:val="auto"/>
        </w:rPr>
      </w:pPr>
    </w:p>
    <w:p>
      <w:pPr>
        <w:ind w:right="200" w:firstLine="1505"/>
        <w:spacing w:after="0" w:line="261"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(but not limited to) any Corporate Transaction, for reasons of administrative convenience.</w:t>
      </w:r>
    </w:p>
    <w:p>
      <w:pPr>
        <w:spacing w:after="0" w:line="206" w:lineRule="exact"/>
        <w:rPr>
          <w:rFonts w:ascii="Times New Roman" w:cs="Times New Roman" w:eastAsia="Times New Roman" w:hAnsi="Times New Roman"/>
          <w:sz w:val="18"/>
          <w:szCs w:val="18"/>
          <w:b w:val="1"/>
          <w:bCs w:val="1"/>
          <w:color w:val="auto"/>
        </w:rPr>
      </w:pPr>
    </w:p>
    <w:p>
      <w:pPr>
        <w:ind w:right="660" w:firstLine="1505"/>
        <w:spacing w:after="0" w:line="282"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61" w:lineRule="exact"/>
        <w:rPr>
          <w:rFonts w:ascii="Times New Roman" w:cs="Times New Roman" w:eastAsia="Times New Roman" w:hAnsi="Times New Roman"/>
          <w:sz w:val="18"/>
          <w:szCs w:val="18"/>
          <w:b w:val="1"/>
          <w:bCs w:val="1"/>
          <w:color w:val="auto"/>
        </w:rPr>
      </w:pPr>
    </w:p>
    <w:p>
      <w:pPr>
        <w:ind w:firstLine="1505"/>
        <w:spacing w:after="0" w:line="261"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206" w:lineRule="exact"/>
        <w:rPr>
          <w:rFonts w:ascii="Times New Roman" w:cs="Times New Roman" w:eastAsia="Times New Roman" w:hAnsi="Times New Roman"/>
          <w:sz w:val="18"/>
          <w:szCs w:val="18"/>
          <w:b w:val="1"/>
          <w:bCs w:val="1"/>
          <w:color w:val="auto"/>
        </w:rPr>
      </w:pPr>
    </w:p>
    <w:p>
      <w:pPr>
        <w:ind w:left="2220" w:hanging="715"/>
        <w:spacing w:after="0"/>
        <w:tabs>
          <w:tab w:leader="none" w:pos="22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52" w:lineRule="exact"/>
        <w:rPr>
          <w:rFonts w:ascii="Times New Roman" w:cs="Times New Roman" w:eastAsia="Times New Roman" w:hAnsi="Times New Roman"/>
          <w:sz w:val="18"/>
          <w:szCs w:val="18"/>
          <w:b w:val="1"/>
          <w:bCs w:val="1"/>
          <w:color w:val="auto"/>
        </w:rPr>
      </w:pPr>
    </w:p>
    <w:p>
      <w:pPr>
        <w:ind w:right="220" w:firstLine="1505"/>
        <w:spacing w:after="0" w:line="261"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provided however, that, a Participant’s rights under any Award will not be Materially Impaired by any such amendment unless (1) the Company requests the consent of the affected Participant, and (2) such Participant consents in writing.</w:t>
      </w:r>
    </w:p>
    <w:p>
      <w:pPr>
        <w:spacing w:after="0" w:line="206" w:lineRule="exact"/>
        <w:rPr>
          <w:rFonts w:ascii="Times New Roman" w:cs="Times New Roman" w:eastAsia="Times New Roman" w:hAnsi="Times New Roman"/>
          <w:sz w:val="18"/>
          <w:szCs w:val="18"/>
          <w:b w:val="1"/>
          <w:bCs w:val="1"/>
          <w:color w:val="auto"/>
        </w:rPr>
      </w:pPr>
    </w:p>
    <w:p>
      <w:pPr>
        <w:ind w:right="460" w:firstLine="1505"/>
        <w:spacing w:after="0" w:line="282"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88" w:lineRule="exact"/>
        <w:rPr>
          <w:rFonts w:ascii="Times New Roman" w:cs="Times New Roman" w:eastAsia="Times New Roman" w:hAnsi="Times New Roman"/>
          <w:sz w:val="18"/>
          <w:szCs w:val="18"/>
          <w:b w:val="1"/>
          <w:bCs w:val="1"/>
          <w:color w:val="auto"/>
        </w:rPr>
      </w:pPr>
    </w:p>
    <w:p>
      <w:pPr>
        <w:ind w:right="120" w:firstLine="1505"/>
        <w:spacing w:after="0" w:line="261"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or amend such procedures and sub-plans as are necessary or appropriate to accommodate the specific requirements of local laws, procedures and practices,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206" w:lineRule="exact"/>
        <w:rPr>
          <w:rFonts w:ascii="Times New Roman" w:cs="Times New Roman" w:eastAsia="Times New Roman" w:hAnsi="Times New Roman"/>
          <w:sz w:val="18"/>
          <w:szCs w:val="18"/>
          <w:b w:val="1"/>
          <w:bCs w:val="1"/>
          <w:color w:val="auto"/>
        </w:rPr>
      </w:pPr>
    </w:p>
    <w:p>
      <w:pPr>
        <w:jc w:val="both"/>
        <w:ind w:right="320" w:firstLine="1505"/>
        <w:spacing w:after="0" w:line="258" w:lineRule="auto"/>
        <w:tabs>
          <w:tab w:leader="none" w:pos="1857"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9" w:name="page20"/>
    <w:bookmarkEnd w:id="19"/>
    <w:p>
      <w:pPr>
        <w:ind w:left="1480" w:hanging="723"/>
        <w:spacing w:after="0"/>
        <w:tabs>
          <w:tab w:leader="none" w:pos="148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52" w:lineRule="exact"/>
        <w:rPr>
          <w:rFonts w:ascii="Times New Roman" w:cs="Times New Roman" w:eastAsia="Times New Roman" w:hAnsi="Times New Roman"/>
          <w:sz w:val="18"/>
          <w:szCs w:val="18"/>
          <w:b w:val="1"/>
          <w:bCs w:val="1"/>
          <w:color w:val="auto"/>
        </w:rPr>
      </w:pPr>
    </w:p>
    <w:p>
      <w:pPr>
        <w:ind w:firstLine="1505"/>
        <w:spacing w:after="0" w:line="255" w:lineRule="auto"/>
        <w:tabs>
          <w:tab w:leader="none" w:pos="1857"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any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88" w:lineRule="exact"/>
        <w:rPr>
          <w:rFonts w:ascii="Times New Roman" w:cs="Times New Roman" w:eastAsia="Times New Roman" w:hAnsi="Times New Roman"/>
          <w:sz w:val="18"/>
          <w:szCs w:val="18"/>
          <w:b w:val="1"/>
          <w:bCs w:val="1"/>
          <w:color w:val="auto"/>
        </w:rPr>
      </w:pPr>
    </w:p>
    <w:p>
      <w:pPr>
        <w:ind w:right="20" w:firstLine="1505"/>
        <w:spacing w:after="0" w:line="261" w:lineRule="auto"/>
        <w:tabs>
          <w:tab w:leader="none" w:pos="1857" w:val="left"/>
        </w:tabs>
        <w:numPr>
          <w:ilvl w:val="2"/>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Rule 16b-3 Compliance. To the extent an Award is intended to qualify for the exemption from Section 16(b) of the 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2" w:lineRule="exact"/>
        <w:rPr>
          <w:rFonts w:ascii="Times New Roman" w:cs="Times New Roman" w:eastAsia="Times New Roman" w:hAnsi="Times New Roman"/>
          <w:sz w:val="18"/>
          <w:szCs w:val="18"/>
          <w:b w:val="1"/>
          <w:bCs w:val="1"/>
          <w:color w:val="auto"/>
        </w:rPr>
      </w:pPr>
    </w:p>
    <w:p>
      <w:pPr>
        <w:ind w:right="160" w:firstLine="757"/>
        <w:spacing w:after="0" w:line="286" w:lineRule="auto"/>
        <w:tabs>
          <w:tab w:leader="none" w:pos="14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subject to review by any person and will be final, binding and conclusive on all persons.</w:t>
      </w:r>
    </w:p>
    <w:p>
      <w:pPr>
        <w:spacing w:after="0" w:line="181" w:lineRule="exact"/>
        <w:rPr>
          <w:rFonts w:ascii="Times New Roman" w:cs="Times New Roman" w:eastAsia="Times New Roman" w:hAnsi="Times New Roman"/>
          <w:sz w:val="18"/>
          <w:szCs w:val="18"/>
          <w:b w:val="1"/>
          <w:bCs w:val="1"/>
          <w:color w:val="auto"/>
        </w:rPr>
      </w:pPr>
    </w:p>
    <w:p>
      <w:pPr>
        <w:ind w:right="100" w:firstLine="757"/>
        <w:spacing w:after="0" w:line="254" w:lineRule="auto"/>
        <w:tabs>
          <w:tab w:leader="none" w:pos="1469"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1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ithholding</w:t>
      </w:r>
    </w:p>
    <w:p>
      <w:pPr>
        <w:spacing w:after="0" w:line="252" w:lineRule="exact"/>
        <w:rPr>
          <w:rFonts w:ascii="Times New Roman" w:cs="Times New Roman" w:eastAsia="Times New Roman" w:hAnsi="Times New Roman"/>
          <w:sz w:val="18"/>
          <w:szCs w:val="18"/>
          <w:b w:val="1"/>
          <w:bCs w:val="1"/>
          <w:color w:val="auto"/>
        </w:rPr>
      </w:pPr>
    </w:p>
    <w:p>
      <w:pPr>
        <w:ind w:right="220" w:firstLine="757"/>
        <w:spacing w:after="0" w:line="257" w:lineRule="auto"/>
        <w:tabs>
          <w:tab w:leader="none" w:pos="146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and any other amounts payable to such Participant, and otherwise agrees to make adequate provision for, any sums required to satisfy any U.S. federal, state, local and/or foreign tax or social insurance contribution withholding obligations of the Company or an Affiliate, if any, which arise in connection with the grant, vesting, exercise,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209" w:lineRule="exact"/>
        <w:rPr>
          <w:rFonts w:ascii="Times New Roman" w:cs="Times New Roman" w:eastAsia="Times New Roman" w:hAnsi="Times New Roman"/>
          <w:sz w:val="18"/>
          <w:szCs w:val="18"/>
          <w:b w:val="1"/>
          <w:bCs w:val="1"/>
          <w:color w:val="auto"/>
        </w:rPr>
      </w:pPr>
    </w:p>
    <w:p>
      <w:pPr>
        <w:ind w:right="100" w:firstLine="757"/>
        <w:spacing w:after="0" w:line="256" w:lineRule="auto"/>
        <w:tabs>
          <w:tab w:leader="none" w:pos="146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209" w:lineRule="exact"/>
        <w:rPr>
          <w:rFonts w:ascii="Times New Roman" w:cs="Times New Roman" w:eastAsia="Times New Roman" w:hAnsi="Times New Roman"/>
          <w:sz w:val="18"/>
          <w:szCs w:val="18"/>
          <w:b w:val="1"/>
          <w:bCs w:val="1"/>
          <w:color w:val="auto"/>
        </w:rPr>
      </w:pPr>
    </w:p>
    <w:p>
      <w:pPr>
        <w:ind w:right="240" w:firstLine="757"/>
        <w:spacing w:after="0" w:line="286" w:lineRule="auto"/>
        <w:tabs>
          <w:tab w:leader="none" w:pos="1469"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duty or obligation to any Participant to advise such holder as to the time or manner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t>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to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13" w:lineRule="exact"/>
        <w:rPr>
          <w:sz w:val="20"/>
          <w:szCs w:val="20"/>
          <w:color w:val="auto"/>
        </w:rPr>
      </w:pPr>
    </w:p>
    <w:p>
      <w:pPr>
        <w:ind w:right="120" w:firstLine="757"/>
        <w:spacing w:after="0" w:line="262" w:lineRule="auto"/>
        <w:tabs>
          <w:tab w:leader="none" w:pos="1469"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0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52" w:lineRule="exact"/>
        <w:rPr>
          <w:rFonts w:ascii="Times New Roman" w:cs="Times New Roman" w:eastAsia="Times New Roman" w:hAnsi="Times New Roman"/>
          <w:sz w:val="18"/>
          <w:szCs w:val="18"/>
          <w:b w:val="1"/>
          <w:bCs w:val="1"/>
          <w:color w:val="auto"/>
        </w:rPr>
      </w:pPr>
    </w:p>
    <w:p>
      <w:pPr>
        <w:ind w:right="20" w:firstLine="757"/>
        <w:spacing w:after="0" w:line="286" w:lineRule="auto"/>
        <w:tabs>
          <w:tab w:leader="none" w:pos="146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181" w:lineRule="exact"/>
        <w:rPr>
          <w:rFonts w:ascii="Times New Roman" w:cs="Times New Roman" w:eastAsia="Times New Roman" w:hAnsi="Times New Roman"/>
          <w:sz w:val="18"/>
          <w:szCs w:val="18"/>
          <w:b w:val="1"/>
          <w:bCs w:val="1"/>
          <w:color w:val="auto"/>
        </w:rPr>
      </w:pPr>
    </w:p>
    <w:p>
      <w:pPr>
        <w:ind w:right="700" w:firstLine="757"/>
        <w:spacing w:after="0" w:line="286" w:lineRule="auto"/>
        <w:tabs>
          <w:tab w:leader="none" w:pos="146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81" w:lineRule="exact"/>
        <w:rPr>
          <w:rFonts w:ascii="Times New Roman" w:cs="Times New Roman" w:eastAsia="Times New Roman" w:hAnsi="Times New Roman"/>
          <w:sz w:val="18"/>
          <w:szCs w:val="18"/>
          <w:b w:val="1"/>
          <w:bCs w:val="1"/>
          <w:color w:val="auto"/>
        </w:rPr>
      </w:pPr>
    </w:p>
    <w:p>
      <w:pPr>
        <w:ind w:right="20" w:firstLine="757"/>
        <w:spacing w:after="0" w:line="256" w:lineRule="auto"/>
        <w:tabs>
          <w:tab w:leader="none" w:pos="146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09" w:lineRule="exact"/>
        <w:rPr>
          <w:rFonts w:ascii="Times New Roman" w:cs="Times New Roman" w:eastAsia="Times New Roman" w:hAnsi="Times New Roman"/>
          <w:sz w:val="18"/>
          <w:szCs w:val="18"/>
          <w:b w:val="1"/>
          <w:bCs w:val="1"/>
          <w:color w:val="auto"/>
        </w:rPr>
      </w:pPr>
    </w:p>
    <w:p>
      <w:pPr>
        <w:ind w:right="80" w:firstLine="757"/>
        <w:spacing w:after="0" w:line="268" w:lineRule="auto"/>
        <w:tabs>
          <w:tab w:leader="none" w:pos="146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97"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469"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 w:name="page22"/>
    <w:bookmarkEnd w:id="21"/>
    <w:p>
      <w:pPr>
        <w:ind w:right="20"/>
        <w:spacing w:after="0" w:line="282" w:lineRule="auto"/>
        <w:rPr>
          <w:sz w:val="20"/>
          <w:szCs w:val="20"/>
          <w:color w:val="auto"/>
        </w:rPr>
      </w:pPr>
      <w:r>
        <w:rPr>
          <w:rFonts w:ascii="Times New Roman" w:cs="Times New Roman" w:eastAsia="Times New Roman" w:hAnsi="Times New Roman"/>
          <w:sz w:val="18"/>
          <w:szCs w:val="18"/>
          <w:color w:val="auto"/>
        </w:rPr>
        <w:t>or condition of employment or service or confer any right or benefit under the Award or the Plan unless such right or benefit has specifically accrued under the terms of the Award Agreement and/or Plan.</w:t>
      </w:r>
    </w:p>
    <w:p>
      <w:pPr>
        <w:spacing w:after="0" w:line="185" w:lineRule="exact"/>
        <w:rPr>
          <w:sz w:val="20"/>
          <w:szCs w:val="20"/>
          <w:color w:val="auto"/>
        </w:rPr>
      </w:pPr>
    </w:p>
    <w:p>
      <w:pPr>
        <w:ind w:firstLine="757"/>
        <w:spacing w:after="0" w:line="256"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09" w:lineRule="exact"/>
        <w:rPr>
          <w:rFonts w:ascii="Times New Roman" w:cs="Times New Roman" w:eastAsia="Times New Roman" w:hAnsi="Times New Roman"/>
          <w:sz w:val="18"/>
          <w:szCs w:val="18"/>
          <w:b w:val="1"/>
          <w:bCs w:val="1"/>
          <w:color w:val="auto"/>
        </w:rPr>
      </w:pPr>
    </w:p>
    <w:p>
      <w:pPr>
        <w:ind w:right="60" w:firstLine="757"/>
        <w:spacing w:after="0" w:line="268"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97" w:lineRule="exact"/>
        <w:rPr>
          <w:rFonts w:ascii="Times New Roman" w:cs="Times New Roman" w:eastAsia="Times New Roman" w:hAnsi="Times New Roman"/>
          <w:sz w:val="18"/>
          <w:szCs w:val="18"/>
          <w:b w:val="1"/>
          <w:bCs w:val="1"/>
          <w:color w:val="auto"/>
        </w:rPr>
      </w:pPr>
    </w:p>
    <w:p>
      <w:pPr>
        <w:ind w:right="40" w:firstLine="757"/>
        <w:spacing w:after="0" w:line="257"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09" w:lineRule="exact"/>
        <w:rPr>
          <w:rFonts w:ascii="Times New Roman" w:cs="Times New Roman" w:eastAsia="Times New Roman" w:hAnsi="Times New Roman"/>
          <w:sz w:val="18"/>
          <w:szCs w:val="18"/>
          <w:b w:val="1"/>
          <w:bCs w:val="1"/>
          <w:color w:val="auto"/>
        </w:rPr>
      </w:pPr>
    </w:p>
    <w:p>
      <w:pPr>
        <w:ind w:firstLine="757"/>
        <w:spacing w:after="0" w:line="255"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84" w:lineRule="exact"/>
        <w:rPr>
          <w:rFonts w:ascii="Times New Roman" w:cs="Times New Roman" w:eastAsia="Times New Roman" w:hAnsi="Times New Roman"/>
          <w:sz w:val="18"/>
          <w:szCs w:val="18"/>
          <w:b w:val="1"/>
          <w:bCs w:val="1"/>
          <w:color w:val="auto"/>
        </w:rPr>
      </w:pPr>
    </w:p>
    <w:p>
      <w:pPr>
        <w:ind w:right="460" w:firstLine="757"/>
        <w:spacing w:after="0" w:line="262"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203" w:lineRule="exact"/>
        <w:rPr>
          <w:rFonts w:ascii="Times New Roman" w:cs="Times New Roman" w:eastAsia="Times New Roman" w:hAnsi="Times New Roman"/>
          <w:sz w:val="18"/>
          <w:szCs w:val="18"/>
          <w:b w:val="1"/>
          <w:bCs w:val="1"/>
          <w:color w:val="auto"/>
        </w:rPr>
      </w:pPr>
    </w:p>
    <w:p>
      <w:pPr>
        <w:ind w:right="160" w:firstLine="757"/>
        <w:spacing w:after="0" w:line="259"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206" w:lineRule="exact"/>
        <w:rPr>
          <w:rFonts w:ascii="Times New Roman" w:cs="Times New Roman" w:eastAsia="Times New Roman" w:hAnsi="Times New Roman"/>
          <w:sz w:val="18"/>
          <w:szCs w:val="18"/>
          <w:b w:val="1"/>
          <w:bCs w:val="1"/>
          <w:color w:val="auto"/>
        </w:rPr>
      </w:pPr>
    </w:p>
    <w:p>
      <w:pPr>
        <w:jc w:val="both"/>
        <w:ind w:right="140" w:firstLine="757"/>
        <w:spacing w:after="0" w:line="262" w:lineRule="auto"/>
        <w:tabs>
          <w:tab w:leader="none" w:pos="1469"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2" w:name="page23"/>
    <w:bookmarkEnd w:id="22"/>
    <w:p>
      <w:pPr>
        <w:spacing w:after="0" w:line="217" w:lineRule="exact"/>
        <w:rPr>
          <w:sz w:val="20"/>
          <w:szCs w:val="20"/>
          <w:color w:val="auto"/>
        </w:rPr>
      </w:pPr>
    </w:p>
    <w:p>
      <w:pPr>
        <w:ind w:right="140" w:firstLine="757"/>
        <w:spacing w:after="0" w:line="268" w:lineRule="auto"/>
        <w:tabs>
          <w:tab w:leader="none" w:pos="110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97" w:lineRule="exact"/>
        <w:rPr>
          <w:rFonts w:ascii="Times New Roman" w:cs="Times New Roman" w:eastAsia="Times New Roman" w:hAnsi="Times New Roman"/>
          <w:sz w:val="18"/>
          <w:szCs w:val="18"/>
          <w:b w:val="1"/>
          <w:bCs w:val="1"/>
          <w:color w:val="auto"/>
        </w:rPr>
      </w:pPr>
    </w:p>
    <w:p>
      <w:pPr>
        <w:ind w:firstLine="757"/>
        <w:spacing w:after="0" w:line="253" w:lineRule="auto"/>
        <w:tabs>
          <w:tab w:leader="none" w:pos="146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16" w:lineRule="exact"/>
        <w:rPr>
          <w:rFonts w:ascii="Times New Roman" w:cs="Times New Roman" w:eastAsia="Times New Roman" w:hAnsi="Times New Roman"/>
          <w:sz w:val="18"/>
          <w:szCs w:val="18"/>
          <w:b w:val="1"/>
          <w:bCs w:val="1"/>
          <w:color w:val="auto"/>
        </w:rPr>
      </w:pPr>
    </w:p>
    <w:p>
      <w:pPr>
        <w:ind w:firstLine="757"/>
        <w:spacing w:after="0" w:line="268" w:lineRule="auto"/>
        <w:tabs>
          <w:tab w:leader="none" w:pos="146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internal laws of the State of Delaware, without regard to conflict of law principles that would result in any application of any law other than the law of the State of Delaware.</w:t>
      </w:r>
    </w:p>
    <w:p>
      <w:pPr>
        <w:spacing w:after="0" w:line="198" w:lineRule="exact"/>
        <w:rPr>
          <w:sz w:val="20"/>
          <w:szCs w:val="20"/>
          <w:color w:val="auto"/>
        </w:rPr>
      </w:pPr>
    </w:p>
    <w:p>
      <w:pPr>
        <w:ind w:left="360" w:hanging="352"/>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15" w:lineRule="exact"/>
        <w:rPr>
          <w:sz w:val="20"/>
          <w:szCs w:val="20"/>
          <w:color w:val="auto"/>
        </w:rPr>
      </w:pPr>
    </w:p>
    <w:p>
      <w:pPr>
        <w:ind w:left="360" w:hanging="352"/>
        <w:spacing w:after="0"/>
        <w:tabs>
          <w:tab w:leader="none" w:pos="3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ules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ection</w:t>
      </w:r>
      <w:r>
        <w:rPr>
          <w:rFonts w:ascii="Times New Roman" w:cs="Times New Roman" w:eastAsia="Times New Roman" w:hAnsi="Times New Roman"/>
          <w:sz w:val="18"/>
          <w:szCs w:val="18"/>
          <w:b w:val="1"/>
          <w:bCs w:val="1"/>
          <w:color w:val="auto"/>
        </w:rPr>
        <w:t xml:space="preserve"> 409A.</w:t>
      </w:r>
    </w:p>
    <w:p>
      <w:pPr>
        <w:spacing w:after="0" w:line="252" w:lineRule="exact"/>
        <w:rPr>
          <w:rFonts w:ascii="Times New Roman" w:cs="Times New Roman" w:eastAsia="Times New Roman" w:hAnsi="Times New Roman"/>
          <w:sz w:val="18"/>
          <w:szCs w:val="18"/>
          <w:b w:val="1"/>
          <w:bCs w:val="1"/>
          <w:color w:val="auto"/>
        </w:rPr>
      </w:pPr>
    </w:p>
    <w:p>
      <w:pPr>
        <w:ind w:right="380" w:firstLine="757"/>
        <w:spacing w:after="0" w:line="268" w:lineRule="auto"/>
        <w:tabs>
          <w:tab w:leader="none" w:pos="146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provisions of this Section shall apply and shall supersede anything to the contrary set forth in the Award Agreement for a Non-Exempt Award.</w:t>
      </w:r>
    </w:p>
    <w:p>
      <w:pPr>
        <w:spacing w:after="0" w:line="197" w:lineRule="exact"/>
        <w:rPr>
          <w:rFonts w:ascii="Times New Roman" w:cs="Times New Roman" w:eastAsia="Times New Roman" w:hAnsi="Times New Roman"/>
          <w:sz w:val="18"/>
          <w:szCs w:val="18"/>
          <w:b w:val="1"/>
          <w:bCs w:val="1"/>
          <w:color w:val="auto"/>
        </w:rPr>
      </w:pPr>
    </w:p>
    <w:p>
      <w:pPr>
        <w:ind w:right="400" w:firstLine="757"/>
        <w:spacing w:after="0" w:line="286" w:lineRule="auto"/>
        <w:tabs>
          <w:tab w:leader="none" w:pos="1469"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 Exempt Awards Subject to Non-Exempt Severance Arrangements. </w:t>
      </w:r>
      <w:r>
        <w:rPr>
          <w:rFonts w:ascii="Times New Roman" w:cs="Times New Roman" w:eastAsia="Times New Roman" w:hAnsi="Times New Roman"/>
          <w:sz w:val="18"/>
          <w:szCs w:val="18"/>
          <w:color w:val="auto"/>
        </w:rPr>
        <w:t>To the extent a Non-Exempt Award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due to application of a Non-Exempt Severance Arrangement, the following provisions of this subsection (b) apply.</w:t>
      </w:r>
    </w:p>
    <w:p>
      <w:pPr>
        <w:spacing w:after="0" w:line="185" w:lineRule="exact"/>
        <w:rPr>
          <w:rFonts w:ascii="Times New Roman" w:cs="Times New Roman" w:eastAsia="Times New Roman" w:hAnsi="Times New Roman"/>
          <w:sz w:val="18"/>
          <w:szCs w:val="18"/>
          <w:b w:val="1"/>
          <w:bCs w:val="1"/>
          <w:color w:val="auto"/>
        </w:rPr>
      </w:pPr>
    </w:p>
    <w:p>
      <w:pPr>
        <w:jc w:val="both"/>
        <w:ind w:right="40" w:firstLine="1505"/>
        <w:spacing w:after="0" w:line="261" w:lineRule="auto"/>
        <w:tabs>
          <w:tab w:leader="none" w:pos="1857" w:val="left"/>
        </w:tabs>
        <w:numPr>
          <w:ilvl w:val="2"/>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31st of the calendar year that includes the applicable vesting date, or (ii) the 60th day that follows the applicable vesting date.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ind w:firstLine="1505"/>
        <w:spacing w:after="0" w:line="254" w:lineRule="auto"/>
        <w:tabs>
          <w:tab w:leader="none" w:pos="1857"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issued earlier in settlement of such Non-Exempt Award upon the Participant’s Separation from Service in accordance with the terms of the Non-Exempt Severance Arrangement, but in no event later than the 60th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218" w:lineRule="exact"/>
        <w:rPr>
          <w:rFonts w:ascii="Times New Roman" w:cs="Times New Roman" w:eastAsia="Times New Roman" w:hAnsi="Times New Roman"/>
          <w:sz w:val="18"/>
          <w:szCs w:val="18"/>
          <w:b w:val="1"/>
          <w:bCs w:val="1"/>
          <w:color w:val="auto"/>
        </w:rPr>
      </w:pPr>
    </w:p>
    <w:p>
      <w:pPr>
        <w:ind w:right="20" w:firstLine="1505"/>
        <w:spacing w:after="0" w:line="255" w:lineRule="auto"/>
        <w:tabs>
          <w:tab w:leader="none" w:pos="1857"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 Exempt Award. Such issuance schedule is intended to satisfy the requirements of payment on a specified date or pursuant to a fixed schedule, as provided under Treasury Regulations Section 1.409A-3(a)(4).</w:t>
      </w:r>
    </w:p>
    <w:p>
      <w:pPr>
        <w:spacing w:after="0" w:line="211" w:lineRule="exact"/>
        <w:rPr>
          <w:rFonts w:ascii="Times New Roman" w:cs="Times New Roman" w:eastAsia="Times New Roman" w:hAnsi="Times New Roman"/>
          <w:sz w:val="18"/>
          <w:szCs w:val="18"/>
          <w:b w:val="1"/>
          <w:bCs w:val="1"/>
          <w:color w:val="auto"/>
        </w:rPr>
      </w:pPr>
    </w:p>
    <w:p>
      <w:pPr>
        <w:ind w:right="260" w:firstLine="757"/>
        <w:spacing w:after="0" w:line="262" w:lineRule="auto"/>
        <w:tabs>
          <w:tab w:leader="none" w:pos="1469"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(c) 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203"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Corporate Transaction:</w:t>
      </w:r>
    </w:p>
    <w:p>
      <w:pPr>
        <w:spacing w:after="0" w:line="233" w:lineRule="exact"/>
        <w:rPr>
          <w:rFonts w:ascii="Times New Roman" w:cs="Times New Roman" w:eastAsia="Times New Roman" w:hAnsi="Times New Roman"/>
          <w:sz w:val="18"/>
          <w:szCs w:val="18"/>
          <w:b w:val="1"/>
          <w:bCs w:val="1"/>
          <w:color w:val="auto"/>
        </w:rPr>
      </w:pPr>
    </w:p>
    <w:p>
      <w:pPr>
        <w:ind w:right="320" w:firstLine="2067"/>
        <w:spacing w:after="0" w:line="258" w:lineRule="auto"/>
        <w:tabs>
          <w:tab w:leader="none" w:pos="2419"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10" w:lineRule="exact"/>
        <w:rPr>
          <w:rFonts w:ascii="Times New Roman" w:cs="Times New Roman" w:eastAsia="Times New Roman" w:hAnsi="Times New Roman"/>
          <w:sz w:val="18"/>
          <w:szCs w:val="18"/>
          <w:b w:val="1"/>
          <w:bCs w:val="1"/>
          <w:color w:val="auto"/>
        </w:rPr>
      </w:pPr>
    </w:p>
    <w:p>
      <w:pPr>
        <w:ind w:right="80" w:firstLine="2067"/>
        <w:spacing w:after="0" w:line="256" w:lineRule="auto"/>
        <w:tabs>
          <w:tab w:leader="none" w:pos="2419" w:val="left"/>
        </w:tabs>
        <w:numPr>
          <w:ilvl w:val="2"/>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210" w:lineRule="exact"/>
        <w:rPr>
          <w:rFonts w:ascii="Times New Roman" w:cs="Times New Roman" w:eastAsia="Times New Roman" w:hAnsi="Times New Roman"/>
          <w:sz w:val="18"/>
          <w:szCs w:val="18"/>
          <w:b w:val="1"/>
          <w:bCs w:val="1"/>
          <w:color w:val="auto"/>
        </w:rPr>
      </w:pPr>
    </w:p>
    <w:p>
      <w:pPr>
        <w:ind w:right="300" w:firstLine="1505"/>
        <w:spacing w:after="0" w:line="286" w:lineRule="auto"/>
        <w:tabs>
          <w:tab w:leader="none" w:pos="1857"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182" w:lineRule="exact"/>
        <w:rPr>
          <w:sz w:val="20"/>
          <w:szCs w:val="20"/>
          <w:color w:val="auto"/>
        </w:rPr>
      </w:pPr>
    </w:p>
    <w:p>
      <w:pPr>
        <w:ind w:right="180" w:firstLine="205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ind w:left="-20" w:right="120" w:firstLine="2067"/>
        <w:spacing w:after="0" w:line="254" w:lineRule="auto"/>
        <w:tabs>
          <w:tab w:leader="none" w:pos="2399"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18" w:lineRule="exact"/>
        <w:rPr>
          <w:rFonts w:ascii="Times New Roman" w:cs="Times New Roman" w:eastAsia="Times New Roman" w:hAnsi="Times New Roman"/>
          <w:sz w:val="18"/>
          <w:szCs w:val="18"/>
          <w:b w:val="1"/>
          <w:bCs w:val="1"/>
          <w:color w:val="auto"/>
        </w:rPr>
      </w:pPr>
    </w:p>
    <w:p>
      <w:pPr>
        <w:ind w:left="-20" w:right="160" w:firstLine="2067"/>
        <w:spacing w:after="0" w:line="282" w:lineRule="auto"/>
        <w:tabs>
          <w:tab w:leader="none" w:pos="2399" w:val="left"/>
        </w:tabs>
        <w:numPr>
          <w:ilvl w:val="2"/>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84" w:lineRule="exact"/>
        <w:rPr>
          <w:rFonts w:ascii="Times New Roman" w:cs="Times New Roman" w:eastAsia="Times New Roman" w:hAnsi="Times New Roman"/>
          <w:sz w:val="18"/>
          <w:szCs w:val="18"/>
          <w:b w:val="1"/>
          <w:bCs w:val="1"/>
          <w:color w:val="auto"/>
        </w:rPr>
      </w:pPr>
    </w:p>
    <w:p>
      <w:pPr>
        <w:ind w:left="-20" w:firstLine="757"/>
        <w:spacing w:after="0" w:line="268" w:lineRule="auto"/>
        <w:tabs>
          <w:tab w:leader="none" w:pos="144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201" w:lineRule="exact"/>
        <w:rPr>
          <w:rFonts w:ascii="Times New Roman" w:cs="Times New Roman" w:eastAsia="Times New Roman" w:hAnsi="Times New Roman"/>
          <w:sz w:val="18"/>
          <w:szCs w:val="18"/>
          <w:b w:val="1"/>
          <w:bCs w:val="1"/>
          <w:color w:val="auto"/>
        </w:rPr>
      </w:pPr>
    </w:p>
    <w:p>
      <w:pPr>
        <w:ind w:left="-20" w:right="40" w:firstLine="1505"/>
        <w:spacing w:after="0" w:line="258" w:lineRule="auto"/>
        <w:tabs>
          <w:tab w:leader="none" w:pos="183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210" w:lineRule="exact"/>
        <w:rPr>
          <w:rFonts w:ascii="Times New Roman" w:cs="Times New Roman" w:eastAsia="Times New Roman" w:hAnsi="Times New Roman"/>
          <w:sz w:val="18"/>
          <w:szCs w:val="18"/>
          <w:b w:val="1"/>
          <w:bCs w:val="1"/>
          <w:color w:val="auto"/>
        </w:rPr>
      </w:pPr>
    </w:p>
    <w:p>
      <w:pPr>
        <w:ind w:left="-20" w:right="20" w:firstLine="1505"/>
        <w:spacing w:after="0" w:line="255" w:lineRule="auto"/>
        <w:tabs>
          <w:tab w:leader="none" w:pos="183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215" w:lineRule="exact"/>
        <w:rPr>
          <w:rFonts w:ascii="Times New Roman" w:cs="Times New Roman" w:eastAsia="Times New Roman" w:hAnsi="Times New Roman"/>
          <w:sz w:val="18"/>
          <w:szCs w:val="18"/>
          <w:b w:val="1"/>
          <w:bCs w:val="1"/>
          <w:color w:val="auto"/>
        </w:rPr>
      </w:pPr>
    </w:p>
    <w:p>
      <w:pPr>
        <w:ind w:left="-20" w:right="20" w:firstLine="757"/>
        <w:spacing w:after="0" w:line="282" w:lineRule="auto"/>
        <w:tabs>
          <w:tab w:leader="none" w:pos="1449"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188" w:lineRule="exact"/>
        <w:rPr>
          <w:rFonts w:ascii="Times New Roman" w:cs="Times New Roman" w:eastAsia="Times New Roman" w:hAnsi="Times New Roman"/>
          <w:sz w:val="18"/>
          <w:szCs w:val="18"/>
          <w:b w:val="1"/>
          <w:bCs w:val="1"/>
          <w:color w:val="auto"/>
        </w:rPr>
      </w:pPr>
    </w:p>
    <w:p>
      <w:pPr>
        <w:ind w:left="-20" w:right="180" w:firstLine="1505"/>
        <w:spacing w:after="0" w:line="266" w:lineRule="auto"/>
        <w:tabs>
          <w:tab w:leader="none" w:pos="183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202" w:lineRule="exact"/>
        <w:rPr>
          <w:rFonts w:ascii="Times New Roman" w:cs="Times New Roman" w:eastAsia="Times New Roman" w:hAnsi="Times New Roman"/>
          <w:sz w:val="18"/>
          <w:szCs w:val="18"/>
          <w:b w:val="1"/>
          <w:bCs w:val="1"/>
          <w:color w:val="auto"/>
        </w:rPr>
      </w:pPr>
    </w:p>
    <w:p>
      <w:pPr>
        <w:ind w:left="-20" w:firstLine="1505"/>
        <w:spacing w:after="0" w:line="282" w:lineRule="auto"/>
        <w:tabs>
          <w:tab w:leader="none" w:pos="183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88" w:lineRule="exact"/>
        <w:rPr>
          <w:rFonts w:ascii="Times New Roman" w:cs="Times New Roman" w:eastAsia="Times New Roman" w:hAnsi="Times New Roman"/>
          <w:sz w:val="18"/>
          <w:szCs w:val="18"/>
          <w:b w:val="1"/>
          <w:bCs w:val="1"/>
          <w:color w:val="auto"/>
        </w:rPr>
      </w:pPr>
    </w:p>
    <w:p>
      <w:pPr>
        <w:ind w:left="-20" w:right="20" w:firstLine="1505"/>
        <w:spacing w:after="0" w:line="256" w:lineRule="auto"/>
        <w:tabs>
          <w:tab w:leader="none" w:pos="1837" w:val="left"/>
        </w:tabs>
        <w:numPr>
          <w:ilvl w:val="1"/>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17" w:right="359" w:bottom="1440" w:gutter="0" w:footer="0" w:header="0"/>
        </w:sectPr>
      </w:pPr>
    </w:p>
    <w:bookmarkStart w:id="25" w:name="page26"/>
    <w:bookmarkEnd w:id="25"/>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203" w:lineRule="exact"/>
        <w:rPr>
          <w:sz w:val="20"/>
          <w:szCs w:val="20"/>
          <w:color w:val="auto"/>
        </w:rPr>
      </w:pPr>
    </w:p>
    <w:p>
      <w:pPr>
        <w:ind w:right="20" w:firstLine="1505"/>
        <w:spacing w:after="0" w:line="266" w:lineRule="auto"/>
        <w:tabs>
          <w:tab w:leader="none" w:pos="1857" w:val="left"/>
        </w:tabs>
        <w:numPr>
          <w:ilvl w:val="1"/>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98"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3" w:lineRule="exact"/>
        <w:rPr>
          <w:sz w:val="20"/>
          <w:szCs w:val="20"/>
          <w:color w:val="auto"/>
        </w:rPr>
      </w:pPr>
    </w:p>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360" w:firstLine="8"/>
        <w:spacing w:after="0" w:line="260" w:lineRule="auto"/>
        <w:tabs>
          <w:tab w:leader="none" w:pos="2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4" w:lineRule="exact"/>
        <w:rPr>
          <w:sz w:val="20"/>
          <w:szCs w:val="20"/>
          <w:color w:val="auto"/>
        </w:rPr>
      </w:pPr>
    </w:p>
    <w:p>
      <w:pPr>
        <w:ind w:left="360" w:hanging="352"/>
        <w:spacing w:after="0"/>
        <w:tabs>
          <w:tab w:leader="none" w:pos="3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5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48" w:lineRule="exact"/>
        <w:rPr>
          <w:sz w:val="20"/>
          <w:szCs w:val="20"/>
          <w:color w:val="auto"/>
        </w:rPr>
      </w:pPr>
    </w:p>
    <w:p>
      <w:pPr>
        <w:ind w:left="1480" w:hanging="723"/>
        <w:spacing w:after="0"/>
        <w:tabs>
          <w:tab w:leader="none" w:pos="14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surviving or acquiring corporation (or its parent company) in connection with a Corporate Transaction.</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the Plan is first approved by the Board or Compensation Committee.</w:t>
      </w:r>
    </w:p>
    <w:p>
      <w:pPr>
        <w:spacing w:after="0" w:line="252" w:lineRule="exact"/>
        <w:rPr>
          <w:rFonts w:ascii="Times New Roman" w:cs="Times New Roman" w:eastAsia="Times New Roman" w:hAnsi="Times New Roman"/>
          <w:sz w:val="18"/>
          <w:szCs w:val="18"/>
          <w:b w:val="1"/>
          <w:bCs w:val="1"/>
          <w:color w:val="auto"/>
        </w:rPr>
      </w:pPr>
    </w:p>
    <w:p>
      <w:pPr>
        <w:ind w:right="280" w:firstLine="757"/>
        <w:spacing w:after="0" w:line="268" w:lineRule="auto"/>
        <w:tabs>
          <w:tab w:leader="none" w:pos="146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at the time of determination, any “parent” or “subsidiary” of the Company as such terms are defined in Rule 405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promulgated under the Securities Act. The Board may determine the time or times at which “parent” or “subsidiary” status is determined within the foregoing definition.</w:t>
      </w:r>
    </w:p>
    <w:p>
      <w:pPr>
        <w:spacing w:after="0" w:line="197" w:lineRule="exact"/>
        <w:rPr>
          <w:rFonts w:ascii="Times New Roman" w:cs="Times New Roman" w:eastAsia="Times New Roman" w:hAnsi="Times New Roman"/>
          <w:sz w:val="18"/>
          <w:szCs w:val="18"/>
          <w:b w:val="1"/>
          <w:bCs w:val="1"/>
          <w:color w:val="auto"/>
        </w:rPr>
      </w:pPr>
    </w:p>
    <w:p>
      <w:pPr>
        <w:ind w:firstLine="757"/>
        <w:spacing w:after="0" w:line="262" w:lineRule="auto"/>
        <w:tabs>
          <w:tab w:leader="none" w:pos="146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applicable securities, federal, state, foreign, material local or municipal or other law, statute, constitution,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203" w:lineRule="exact"/>
        <w:rPr>
          <w:rFonts w:ascii="Times New Roman" w:cs="Times New Roman" w:eastAsia="Times New Roman" w:hAnsi="Times New Roman"/>
          <w:sz w:val="18"/>
          <w:szCs w:val="18"/>
          <w:b w:val="1"/>
          <w:bCs w:val="1"/>
          <w:color w:val="auto"/>
        </w:rPr>
      </w:pPr>
    </w:p>
    <w:p>
      <w:pPr>
        <w:ind w:right="460" w:firstLine="757"/>
        <w:spacing w:after="0" w:line="286" w:lineRule="auto"/>
        <w:tabs>
          <w:tab w:leader="none" w:pos="146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right to receive Common Stock, cash or other property granted under the Plan (including an Incentive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 Nonstatutory Stock Option, a Restricted Stock Award, an RSU Award, a SAR, a Performance Award or any Other Award).</w:t>
      </w:r>
    </w:p>
    <w:p>
      <w:pPr>
        <w:spacing w:after="0" w:line="181" w:lineRule="exact"/>
        <w:rPr>
          <w:rFonts w:ascii="Times New Roman" w:cs="Times New Roman" w:eastAsia="Times New Roman" w:hAnsi="Times New Roman"/>
          <w:sz w:val="18"/>
          <w:szCs w:val="18"/>
          <w:b w:val="1"/>
          <w:bCs w:val="1"/>
          <w:color w:val="auto"/>
        </w:rPr>
      </w:pPr>
    </w:p>
    <w:p>
      <w:pPr>
        <w:ind w:right="280" w:firstLine="757"/>
        <w:spacing w:after="0" w:line="268" w:lineRule="auto"/>
        <w:tabs>
          <w:tab w:leader="none" w:pos="146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evidencing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97" w:lineRule="exact"/>
        <w:rPr>
          <w:rFonts w:ascii="Times New Roman" w:cs="Times New Roman" w:eastAsia="Times New Roman" w:hAnsi="Times New Roman"/>
          <w:sz w:val="18"/>
          <w:szCs w:val="18"/>
          <w:b w:val="1"/>
          <w:bCs w:val="1"/>
          <w:color w:val="auto"/>
        </w:rPr>
      </w:pPr>
    </w:p>
    <w:p>
      <w:pPr>
        <w:jc w:val="both"/>
        <w:ind w:right="80" w:firstLine="757"/>
        <w:spacing w:after="0" w:line="268" w:lineRule="auto"/>
        <w:tabs>
          <w:tab w:leader="none" w:pos="1469"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Board of Directors of the Company (or its designee). Any decision or determination made by the Board shall be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decision or determination that is made in the sole discretion of the Board (or its designee), and such decision or determination shall be final and binding on all Participants.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217" w:lineRule="exact"/>
        <w:rPr>
          <w:sz w:val="20"/>
          <w:szCs w:val="20"/>
          <w:color w:val="auto"/>
        </w:rPr>
      </w:pPr>
    </w:p>
    <w:p>
      <w:pPr>
        <w:ind w:right="100" w:firstLine="757"/>
        <w:spacing w:after="0" w:line="256" w:lineRule="auto"/>
        <w:tabs>
          <w:tab w:leader="none" w:pos="146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change that is made in, or other events that occur with respect to, the Common Stock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9" w:lineRule="exact"/>
        <w:rPr>
          <w:rFonts w:ascii="Times New Roman" w:cs="Times New Roman" w:eastAsia="Times New Roman" w:hAnsi="Times New Roman"/>
          <w:sz w:val="18"/>
          <w:szCs w:val="18"/>
          <w:b w:val="1"/>
          <w:bCs w:val="1"/>
          <w:color w:val="auto"/>
        </w:rPr>
      </w:pPr>
    </w:p>
    <w:p>
      <w:pPr>
        <w:ind w:right="180" w:firstLine="757"/>
        <w:spacing w:after="0" w:line="254" w:lineRule="auto"/>
        <w:tabs>
          <w:tab w:leader="none" w:pos="1469" w:val="left"/>
        </w:tabs>
        <w:numPr>
          <w:ilvl w:val="1"/>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the meaning ascribed to such term in any written agreement between a Participant and the Company defining such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w:t>
      </w:r>
    </w:p>
    <w:p>
      <w:pPr>
        <w:ind w:firstLine="8"/>
        <w:spacing w:after="0" w:line="252" w:lineRule="auto"/>
        <w:tabs>
          <w:tab w:leader="none" w:pos="25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212" w:lineRule="exact"/>
        <w:rPr>
          <w:rFonts w:ascii="Times New Roman" w:cs="Times New Roman" w:eastAsia="Times New Roman" w:hAnsi="Times New Roman"/>
          <w:sz w:val="18"/>
          <w:szCs w:val="18"/>
          <w:color w:val="auto"/>
        </w:rPr>
      </w:pPr>
    </w:p>
    <w:p>
      <w:pPr>
        <w:ind w:right="260" w:firstLine="757"/>
        <w:spacing w:after="0" w:line="286" w:lineRule="auto"/>
        <w:tabs>
          <w:tab w:leader="none" w:pos="1469" w:val="left"/>
        </w:tabs>
        <w:numPr>
          <w:ilvl w:val="1"/>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b w:val="1"/>
          <w:bCs w:val="1"/>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occurrence, in a single transaction or in a series of related transactions,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one or more of the following events:</w:t>
      </w:r>
    </w:p>
    <w:p>
      <w:pPr>
        <w:spacing w:after="0" w:line="185" w:lineRule="exact"/>
        <w:rPr>
          <w:rFonts w:ascii="Times New Roman" w:cs="Times New Roman" w:eastAsia="Times New Roman" w:hAnsi="Times New Roman"/>
          <w:sz w:val="18"/>
          <w:szCs w:val="18"/>
          <w:b w:val="1"/>
          <w:bCs w:val="1"/>
          <w:color w:val="auto"/>
        </w:rPr>
      </w:pPr>
    </w:p>
    <w:p>
      <w:pPr>
        <w:ind w:firstLine="1505"/>
        <w:spacing w:after="0" w:line="253" w:lineRule="auto"/>
        <w:tabs>
          <w:tab w:leader="none" w:pos="1857"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“Subject Person”)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18" w:lineRule="exact"/>
        <w:rPr>
          <w:rFonts w:ascii="Times New Roman" w:cs="Times New Roman" w:eastAsia="Times New Roman" w:hAnsi="Times New Roman"/>
          <w:sz w:val="18"/>
          <w:szCs w:val="18"/>
          <w:b w:val="1"/>
          <w:bCs w:val="1"/>
          <w:color w:val="auto"/>
        </w:rPr>
      </w:pPr>
    </w:p>
    <w:p>
      <w:pPr>
        <w:ind w:right="140" w:firstLine="1505"/>
        <w:spacing w:after="0" w:line="256" w:lineRule="auto"/>
        <w:tabs>
          <w:tab w:leader="none" w:pos="1857"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214" w:lineRule="exact"/>
        <w:rPr>
          <w:rFonts w:ascii="Times New Roman" w:cs="Times New Roman" w:eastAsia="Times New Roman" w:hAnsi="Times New Roman"/>
          <w:sz w:val="18"/>
          <w:szCs w:val="18"/>
          <w:b w:val="1"/>
          <w:bCs w:val="1"/>
          <w:color w:val="auto"/>
        </w:rPr>
      </w:pPr>
    </w:p>
    <w:p>
      <w:pPr>
        <w:ind w:right="240" w:firstLine="1505"/>
        <w:spacing w:after="0" w:line="282" w:lineRule="auto"/>
        <w:tabs>
          <w:tab w:leader="none" w:pos="1902" w:val="left"/>
        </w:tabs>
        <w:numPr>
          <w:ilvl w:val="2"/>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ind w:right="140"/>
        <w:spacing w:after="0" w:line="266" w:lineRule="auto"/>
        <w:rPr>
          <w:sz w:val="20"/>
          <w:szCs w:val="20"/>
          <w:color w:val="auto"/>
        </w:rPr>
      </w:pPr>
      <w:r>
        <w:rPr>
          <w:rFonts w:ascii="Times New Roman" w:cs="Times New Roman" w:eastAsia="Times New Roman" w:hAnsi="Times New Roman"/>
          <w:sz w:val="18"/>
          <w:szCs w:val="18"/>
          <w:color w:val="auto"/>
        </w:rPr>
        <w:t>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03" w:lineRule="exact"/>
        <w:rPr>
          <w:sz w:val="20"/>
          <w:szCs w:val="20"/>
          <w:color w:val="auto"/>
        </w:rPr>
      </w:pPr>
    </w:p>
    <w:p>
      <w:pPr>
        <w:jc w:val="both"/>
        <w:ind w:right="100" w:firstLine="1505"/>
        <w:spacing w:after="0" w:line="261" w:lineRule="auto"/>
        <w:tabs>
          <w:tab w:leader="none" w:pos="1857"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“Incumbent Board”)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20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212" w:lineRule="exact"/>
        <w:rPr>
          <w:sz w:val="20"/>
          <w:szCs w:val="20"/>
          <w:color w:val="auto"/>
        </w:rPr>
      </w:pPr>
    </w:p>
    <w:p>
      <w:pPr>
        <w:ind w:left="1480" w:hanging="723"/>
        <w:spacing w:after="0"/>
        <w:tabs>
          <w:tab w:leader="none" w:pos="14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Internal Revenue Code of 1986, as amended, including any applicable regulations and guidance thereunder.</w:t>
      </w:r>
    </w:p>
    <w:p>
      <w:pPr>
        <w:spacing w:after="0" w:line="252" w:lineRule="exact"/>
        <w:rPr>
          <w:rFonts w:ascii="Times New Roman" w:cs="Times New Roman" w:eastAsia="Times New Roman" w:hAnsi="Times New Roman"/>
          <w:sz w:val="18"/>
          <w:szCs w:val="18"/>
          <w:b w:val="1"/>
          <w:bCs w:val="1"/>
          <w:color w:val="auto"/>
        </w:rPr>
      </w:pPr>
    </w:p>
    <w:p>
      <w:pPr>
        <w:ind w:right="320" w:firstLine="757"/>
        <w:spacing w:after="0" w:line="286" w:lineRule="auto"/>
        <w:tabs>
          <w:tab w:leader="none" w:pos="146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Compensation Committee and any other committee of one or more Directors to whom authority has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delegated by the Board or Compensation Committee in accordance with the Plan.</w:t>
      </w:r>
    </w:p>
    <w:p>
      <w:pPr>
        <w:spacing w:after="0" w:line="181"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common stock of the Company.</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Acrivon Therapeutics, Inc., a Delaware corporation.</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Compensation Committee of the Board.</w:t>
      </w:r>
    </w:p>
    <w:p>
      <w:pPr>
        <w:spacing w:after="0" w:line="252" w:lineRule="exact"/>
        <w:rPr>
          <w:rFonts w:ascii="Times New Roman" w:cs="Times New Roman" w:eastAsia="Times New Roman" w:hAnsi="Times New Roman"/>
          <w:sz w:val="18"/>
          <w:szCs w:val="18"/>
          <w:b w:val="1"/>
          <w:bCs w:val="1"/>
          <w:color w:val="auto"/>
        </w:rPr>
      </w:pPr>
    </w:p>
    <w:p>
      <w:pPr>
        <w:ind w:firstLine="757"/>
        <w:spacing w:after="0" w:line="259" w:lineRule="auto"/>
        <w:tabs>
          <w:tab w:leader="none" w:pos="146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including an advisor, who is (i) engaged by the Company or an Affiliate to render consulting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06" w:lineRule="exact"/>
        <w:rPr>
          <w:rFonts w:ascii="Times New Roman" w:cs="Times New Roman" w:eastAsia="Times New Roman" w:hAnsi="Times New Roman"/>
          <w:sz w:val="18"/>
          <w:szCs w:val="18"/>
          <w:b w:val="1"/>
          <w:bCs w:val="1"/>
          <w:color w:val="auto"/>
        </w:rPr>
      </w:pPr>
    </w:p>
    <w:p>
      <w:pPr>
        <w:ind w:right="20" w:firstLine="757"/>
        <w:spacing w:after="0" w:line="253" w:lineRule="auto"/>
        <w:tabs>
          <w:tab w:leader="none" w:pos="1469"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the Participant’s service with the Company or an Affiliate, whether as an Employee, Director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28" w:name="page29"/>
    <w:bookmarkEnd w:id="28"/>
    <w:p>
      <w:pPr>
        <w:ind w:right="820"/>
        <w:spacing w:after="0" w:line="282" w:lineRule="auto"/>
        <w:rPr>
          <w:sz w:val="20"/>
          <w:szCs w:val="20"/>
          <w:color w:val="auto"/>
        </w:rPr>
      </w:pPr>
      <w:r>
        <w:rPr>
          <w:rFonts w:ascii="Times New Roman" w:cs="Times New Roman" w:eastAsia="Times New Roman" w:hAnsi="Times New Roman"/>
          <w:sz w:val="18"/>
          <w:szCs w:val="18"/>
          <w:color w:val="auto"/>
        </w:rPr>
        <w:t>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5" w:lineRule="exact"/>
        <w:rPr>
          <w:sz w:val="20"/>
          <w:szCs w:val="20"/>
          <w:color w:val="auto"/>
        </w:rPr>
      </w:pPr>
    </w:p>
    <w:p>
      <w:pPr>
        <w:ind w:right="80" w:firstLine="757"/>
        <w:spacing w:after="0" w:line="286" w:lineRule="auto"/>
        <w:tabs>
          <w:tab w:leader="none" w:pos="1469"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consummation, in a single transaction or in a series of related transactions, of any one or more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following events:</w:t>
      </w:r>
    </w:p>
    <w:p>
      <w:pPr>
        <w:spacing w:after="0" w:line="18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sale or other disposition of all or substantially all, as determined by the Board, of the consolidated assets of the Company and its</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Subsidiaries;</w:t>
      </w:r>
    </w:p>
    <w:p>
      <w:pPr>
        <w:spacing w:after="0" w:line="233" w:lineRule="exact"/>
        <w:rPr>
          <w:rFonts w:ascii="Times New Roman" w:cs="Times New Roman" w:eastAsia="Times New Roman" w:hAnsi="Times New Roman"/>
          <w:sz w:val="17"/>
          <w:szCs w:val="17"/>
          <w:b w:val="1"/>
          <w:bCs w:val="1"/>
          <w:color w:val="auto"/>
        </w:rPr>
      </w:pPr>
    </w:p>
    <w:p>
      <w:pPr>
        <w:ind w:left="1860" w:hanging="355"/>
        <w:spacing w:after="0"/>
        <w:tabs>
          <w:tab w:leader="none" w:pos="186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w:t>
      </w:r>
    </w:p>
    <w:p>
      <w:pPr>
        <w:spacing w:after="0" w:line="2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Company;</w:t>
      </w:r>
    </w:p>
    <w:p>
      <w:pPr>
        <w:spacing w:after="0" w:line="234" w:lineRule="exact"/>
        <w:rPr>
          <w:sz w:val="20"/>
          <w:szCs w:val="20"/>
          <w:color w:val="auto"/>
        </w:rPr>
      </w:pPr>
    </w:p>
    <w:p>
      <w:pPr>
        <w:ind w:left="1860" w:hanging="355"/>
        <w:spacing w:after="0"/>
        <w:tabs>
          <w:tab w:leader="none" w:pos="186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52" w:lineRule="exact"/>
        <w:rPr>
          <w:rFonts w:ascii="Times New Roman" w:cs="Times New Roman" w:eastAsia="Times New Roman" w:hAnsi="Times New Roman"/>
          <w:sz w:val="18"/>
          <w:szCs w:val="18"/>
          <w:b w:val="1"/>
          <w:bCs w:val="1"/>
          <w:color w:val="auto"/>
        </w:rPr>
      </w:pPr>
    </w:p>
    <w:p>
      <w:pPr>
        <w:ind w:right="280" w:firstLine="1505"/>
        <w:spacing w:after="0" w:line="266" w:lineRule="auto"/>
        <w:tabs>
          <w:tab w:leader="none" w:pos="1857"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0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212" w:lineRule="exact"/>
        <w:rPr>
          <w:sz w:val="20"/>
          <w:szCs w:val="20"/>
          <w:color w:val="auto"/>
        </w:rPr>
      </w:pPr>
    </w:p>
    <w:p>
      <w:pPr>
        <w:ind w:left="1480" w:hanging="723"/>
        <w:spacing w:after="0"/>
        <w:tabs>
          <w:tab w:leader="none" w:pos="1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member of the Board.</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b w:val="1"/>
          <w:bCs w:val="1"/>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as determined by the Board or the Committee (or its designee) in its sole discretion.</w:t>
      </w:r>
    </w:p>
    <w:p>
      <w:pPr>
        <w:spacing w:after="0" w:line="252" w:lineRule="exact"/>
        <w:rPr>
          <w:rFonts w:ascii="Times New Roman" w:cs="Times New Roman" w:eastAsia="Times New Roman" w:hAnsi="Times New Roman"/>
          <w:sz w:val="18"/>
          <w:szCs w:val="18"/>
          <w:b w:val="1"/>
          <w:bCs w:val="1"/>
          <w:color w:val="auto"/>
        </w:rPr>
      </w:pPr>
    </w:p>
    <w:p>
      <w:pPr>
        <w:ind w:right="200" w:firstLine="757"/>
        <w:spacing w:after="0" w:line="262" w:lineRule="auto"/>
        <w:tabs>
          <w:tab w:leader="none" w:pos="146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a Participant, such Participant is unable to engage in any substantial gainful activity by reason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203"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Effective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immediately prior to the IPO Date, provided that this Plan is approved by the Company’s stockholders prior to</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IPO Date.</w:t>
      </w:r>
    </w:p>
    <w:p>
      <w:pPr>
        <w:spacing w:after="0" w:line="229" w:lineRule="exact"/>
        <w:rPr>
          <w:rFonts w:ascii="Times New Roman" w:cs="Times New Roman" w:eastAsia="Times New Roman" w:hAnsi="Times New Roman"/>
          <w:sz w:val="17"/>
          <w:szCs w:val="17"/>
          <w:b w:val="1"/>
          <w:bCs w:val="1"/>
          <w:color w:val="auto"/>
        </w:rPr>
      </w:pPr>
    </w:p>
    <w:p>
      <w:pPr>
        <w:ind w:right="280" w:firstLine="757"/>
        <w:spacing w:after="0" w:line="286" w:lineRule="auto"/>
        <w:tabs>
          <w:tab w:leader="none" w:pos="1109"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employed by the Company or an Affiliate. However, service solely as a Director, or payment of a fee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services, will not cause a Director to be considered an “Employee” for purposes of the Plan.</w:t>
      </w:r>
    </w:p>
    <w:p>
      <w:pPr>
        <w:spacing w:after="0" w:line="181"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Company or the Affiliate of the Company that employs the Participant.</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corporation, partnership, limited liability company or other entity.</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Exchange Act of 1934, as amended, and the rules and regulations promulgated thereunder.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9" w:name="page30"/>
    <w:bookmarkEnd w:id="29"/>
    <w:p>
      <w:pPr>
        <w:spacing w:after="0" w:line="217" w:lineRule="exact"/>
        <w:rPr>
          <w:sz w:val="20"/>
          <w:szCs w:val="20"/>
          <w:color w:val="auto"/>
        </w:rPr>
      </w:pPr>
    </w:p>
    <w:p>
      <w:pPr>
        <w:ind w:left="-20" w:firstLine="757"/>
        <w:spacing w:after="0" w:line="256"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natural person, Entity or “group” (within the meaning of Section 13(d) or 14(d) of the 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09" w:lineRule="exact"/>
        <w:rPr>
          <w:rFonts w:ascii="Times New Roman" w:cs="Times New Roman" w:eastAsia="Times New Roman" w:hAnsi="Times New Roman"/>
          <w:sz w:val="18"/>
          <w:szCs w:val="18"/>
          <w:b w:val="1"/>
          <w:bCs w:val="1"/>
          <w:color w:val="auto"/>
        </w:rPr>
      </w:pPr>
    </w:p>
    <w:p>
      <w:pPr>
        <w:ind w:left="-20" w:firstLine="757"/>
        <w:spacing w:after="0" w:line="286"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as of any date, unless otherwise determined by the Board, the value of the Common Stock (as determined on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 share or aggregate basis, as applicable) determined as follows:</w:t>
      </w:r>
    </w:p>
    <w:p>
      <w:pPr>
        <w:spacing w:after="0" w:line="185" w:lineRule="exact"/>
        <w:rPr>
          <w:rFonts w:ascii="Times New Roman" w:cs="Times New Roman" w:eastAsia="Times New Roman" w:hAnsi="Times New Roman"/>
          <w:sz w:val="18"/>
          <w:szCs w:val="18"/>
          <w:b w:val="1"/>
          <w:bCs w:val="1"/>
          <w:color w:val="auto"/>
        </w:rPr>
      </w:pPr>
    </w:p>
    <w:p>
      <w:pPr>
        <w:ind w:left="-20" w:right="80" w:firstLine="1505"/>
        <w:spacing w:after="0" w:line="266" w:lineRule="auto"/>
        <w:tabs>
          <w:tab w:leader="none" w:pos="183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202" w:lineRule="exact"/>
        <w:rPr>
          <w:rFonts w:ascii="Times New Roman" w:cs="Times New Roman" w:eastAsia="Times New Roman" w:hAnsi="Times New Roman"/>
          <w:sz w:val="18"/>
          <w:szCs w:val="18"/>
          <w:b w:val="1"/>
          <w:bCs w:val="1"/>
          <w:color w:val="auto"/>
        </w:rPr>
      </w:pPr>
    </w:p>
    <w:p>
      <w:pPr>
        <w:ind w:left="-20" w:right="500" w:firstLine="1505"/>
        <w:spacing w:after="0" w:line="282" w:lineRule="auto"/>
        <w:tabs>
          <w:tab w:leader="none" w:pos="183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88" w:lineRule="exact"/>
        <w:rPr>
          <w:rFonts w:ascii="Times New Roman" w:cs="Times New Roman" w:eastAsia="Times New Roman" w:hAnsi="Times New Roman"/>
          <w:sz w:val="18"/>
          <w:szCs w:val="18"/>
          <w:b w:val="1"/>
          <w:bCs w:val="1"/>
          <w:color w:val="auto"/>
        </w:rPr>
      </w:pPr>
    </w:p>
    <w:p>
      <w:pPr>
        <w:ind w:left="-20" w:right="280" w:firstLine="1505"/>
        <w:spacing w:after="0" w:line="282" w:lineRule="auto"/>
        <w:tabs>
          <w:tab w:leader="none" w:pos="1837"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84" w:lineRule="exact"/>
        <w:rPr>
          <w:rFonts w:ascii="Times New Roman" w:cs="Times New Roman" w:eastAsia="Times New Roman" w:hAnsi="Times New Roman"/>
          <w:sz w:val="18"/>
          <w:szCs w:val="18"/>
          <w:b w:val="1"/>
          <w:bCs w:val="1"/>
          <w:color w:val="auto"/>
        </w:rPr>
      </w:pPr>
    </w:p>
    <w:p>
      <w:pPr>
        <w:ind w:left="-20" w:right="60" w:firstLine="757"/>
        <w:spacing w:after="0" w:line="286"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Fully Diluted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total number of Common Stock outstanding plus the number of shares of Common Stock that are issuable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exercise of any outstanding Pre-funded Warrants.</w:t>
      </w:r>
    </w:p>
    <w:p>
      <w:pPr>
        <w:spacing w:after="0" w:line="181" w:lineRule="exact"/>
        <w:rPr>
          <w:rFonts w:ascii="Times New Roman" w:cs="Times New Roman" w:eastAsia="Times New Roman" w:hAnsi="Times New Roman"/>
          <w:sz w:val="18"/>
          <w:szCs w:val="18"/>
          <w:b w:val="1"/>
          <w:bCs w:val="1"/>
          <w:color w:val="auto"/>
        </w:rPr>
      </w:pPr>
    </w:p>
    <w:p>
      <w:pPr>
        <w:ind w:left="-20" w:right="40" w:firstLine="757"/>
        <w:spacing w:after="0" w:line="257"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(i) nation, state, commonwealth, province, territory, county, municipality, district or other jurisdiction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209" w:lineRule="exact"/>
        <w:rPr>
          <w:rFonts w:ascii="Times New Roman" w:cs="Times New Roman" w:eastAsia="Times New Roman" w:hAnsi="Times New Roman"/>
          <w:sz w:val="18"/>
          <w:szCs w:val="18"/>
          <w:b w:val="1"/>
          <w:bCs w:val="1"/>
          <w:color w:val="auto"/>
        </w:rPr>
      </w:pPr>
    </w:p>
    <w:p>
      <w:pPr>
        <w:ind w:left="-20" w:right="120" w:firstLine="757"/>
        <w:spacing w:after="0" w:line="268"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notice provided to a Participant that he or she has been granted an Award under the Plan and which includes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197" w:lineRule="exact"/>
        <w:rPr>
          <w:rFonts w:ascii="Times New Roman" w:cs="Times New Roman" w:eastAsia="Times New Roman" w:hAnsi="Times New Roman"/>
          <w:sz w:val="18"/>
          <w:szCs w:val="18"/>
          <w:b w:val="1"/>
          <w:bCs w:val="1"/>
          <w:color w:val="auto"/>
        </w:rPr>
      </w:pPr>
    </w:p>
    <w:p>
      <w:pPr>
        <w:ind w:left="-20" w:right="240" w:firstLine="757"/>
        <w:spacing w:after="0" w:line="286"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option granted pursuant to Section 4 of the Plan that is intended to be, and qualifies as, an “incentive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option” within the meaning of Section 422 of the Code.</w:t>
      </w:r>
    </w:p>
    <w:p>
      <w:pPr>
        <w:spacing w:after="0" w:line="181" w:lineRule="exact"/>
        <w:rPr>
          <w:rFonts w:ascii="Times New Roman" w:cs="Times New Roman" w:eastAsia="Times New Roman" w:hAnsi="Times New Roman"/>
          <w:sz w:val="18"/>
          <w:szCs w:val="18"/>
          <w:b w:val="1"/>
          <w:bCs w:val="1"/>
          <w:color w:val="auto"/>
        </w:rPr>
      </w:pPr>
    </w:p>
    <w:p>
      <w:pPr>
        <w:ind w:left="-20" w:right="620" w:firstLine="757"/>
        <w:spacing w:after="0" w:line="286" w:lineRule="auto"/>
        <w:tabs>
          <w:tab w:leader="none" w:pos="1089"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date of the underwriting agreement between the Company and the underwriter(s) managing the initial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offering of the Common Stock, pursuant to which the Common Stock is priced for the initial public offering.</w:t>
      </w:r>
    </w:p>
    <w:p>
      <w:pPr>
        <w:spacing w:after="0" w:line="181" w:lineRule="exact"/>
        <w:rPr>
          <w:rFonts w:ascii="Times New Roman" w:cs="Times New Roman" w:eastAsia="Times New Roman" w:hAnsi="Times New Roman"/>
          <w:sz w:val="18"/>
          <w:szCs w:val="18"/>
          <w:b w:val="1"/>
          <w:bCs w:val="1"/>
          <w:color w:val="auto"/>
        </w:rPr>
      </w:pPr>
    </w:p>
    <w:p>
      <w:pPr>
        <w:ind w:left="-20" w:right="260" w:firstLine="757"/>
        <w:spacing w:after="0" w:line="257" w:lineRule="auto"/>
        <w:tabs>
          <w:tab w:leader="none" w:pos="1134"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amendment to the terms of the Award that materially adversely affects the Participant’s rights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621665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30" w:name="page31"/>
    <w:bookmarkEnd w:id="30"/>
    <w:p>
      <w:pPr>
        <w:ind w:right="20"/>
        <w:spacing w:after="0" w:line="266" w:lineRule="auto"/>
        <w:rPr>
          <w:sz w:val="20"/>
          <w:szCs w:val="20"/>
          <w:color w:val="auto"/>
        </w:rPr>
      </w:pPr>
      <w:r>
        <w:rPr>
          <w:rFonts w:ascii="Times New Roman" w:cs="Times New Roman" w:eastAsia="Times New Roman" w:hAnsi="Times New Roman"/>
          <w:sz w:val="18"/>
          <w:szCs w:val="18"/>
          <w:color w:val="auto"/>
        </w:rPr>
        <w:t>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99" w:lineRule="exact"/>
        <w:rPr>
          <w:sz w:val="20"/>
          <w:szCs w:val="20"/>
          <w:color w:val="auto"/>
        </w:rPr>
      </w:pPr>
    </w:p>
    <w:p>
      <w:pPr>
        <w:ind w:right="100" w:firstLine="757"/>
        <w:spacing w:after="0" w:line="257" w:lineRule="auto"/>
        <w:tabs>
          <w:tab w:leader="none" w:pos="146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Director who either (i) is not a current employee or officer of the Company or an Affiliate, does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(“Regulation S-K”)),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209" w:lineRule="exact"/>
        <w:rPr>
          <w:rFonts w:ascii="Times New Roman" w:cs="Times New Roman" w:eastAsia="Times New Roman" w:hAnsi="Times New Roman"/>
          <w:sz w:val="18"/>
          <w:szCs w:val="18"/>
          <w:b w:val="1"/>
          <w:bCs w:val="1"/>
          <w:color w:val="auto"/>
        </w:rPr>
      </w:pPr>
    </w:p>
    <w:p>
      <w:pPr>
        <w:ind w:right="220" w:firstLine="757"/>
        <w:spacing w:after="0" w:line="268" w:lineRule="auto"/>
        <w:tabs>
          <w:tab w:leader="none" w:pos="11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Award that is subject to, and not exempt from, Section 409A, including as the result of (i) a deferral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issuance of the shares subject to the Award which is elected by the Participant or imposed by the Company, or (ii) the terms of any Non-Exempt Severance Agreement.</w:t>
      </w:r>
    </w:p>
    <w:p>
      <w:pPr>
        <w:spacing w:after="0" w:line="197" w:lineRule="exact"/>
        <w:rPr>
          <w:rFonts w:ascii="Times New Roman" w:cs="Times New Roman" w:eastAsia="Times New Roman" w:hAnsi="Times New Roman"/>
          <w:sz w:val="18"/>
          <w:szCs w:val="18"/>
          <w:b w:val="1"/>
          <w:bCs w:val="1"/>
          <w:color w:val="auto"/>
        </w:rPr>
      </w:pPr>
    </w:p>
    <w:p>
      <w:pPr>
        <w:ind w:right="460" w:firstLine="757"/>
        <w:spacing w:after="0" w:line="286" w:lineRule="auto"/>
        <w:tabs>
          <w:tab w:leader="none" w:pos="11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w:t>
      </w:r>
      <w:r>
        <w:rPr>
          <w:rFonts w:ascii="Times New Roman" w:cs="Times New Roman" w:eastAsia="Times New Roman" w:hAnsi="Times New Roman"/>
          <w:sz w:val="18"/>
          <w:szCs w:val="18"/>
          <w:b w:val="1"/>
          <w:bCs w:val="1"/>
          <w:i w:val="1"/>
          <w:iCs w:val="1"/>
          <w:color w:val="auto"/>
        </w:rPr>
        <w:t>Exempt Director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means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Non-Exempt Award granted to a Participant who was a Director but not an Employee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grant date.</w:t>
      </w:r>
    </w:p>
    <w:p>
      <w:pPr>
        <w:spacing w:after="0" w:line="181" w:lineRule="exact"/>
        <w:rPr>
          <w:rFonts w:ascii="Times New Roman" w:cs="Times New Roman" w:eastAsia="Times New Roman" w:hAnsi="Times New Roman"/>
          <w:sz w:val="18"/>
          <w:szCs w:val="18"/>
          <w:b w:val="1"/>
          <w:bCs w:val="1"/>
          <w:color w:val="auto"/>
        </w:rPr>
      </w:pPr>
    </w:p>
    <w:p>
      <w:pPr>
        <w:jc w:val="both"/>
        <w:ind w:right="20" w:firstLine="757"/>
        <w:spacing w:after="0" w:line="274" w:lineRule="auto"/>
        <w:tabs>
          <w:tab w:leader="none" w:pos="1469" w:val="left"/>
        </w:tabs>
        <w:numPr>
          <w:ilvl w:val="0"/>
          <w:numId w:val="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Non-Exempt Severance Arrangement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severance arrangement or other agreement between the Participant and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w:t>
      </w:r>
    </w:p>
    <w:p>
      <w:pPr>
        <w:ind w:right="38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(“Separation from Service”) and such severance benefit does not satisfy the requirements for an exemption from application of Section 409A provided under Treasury Regulations Section 1.409A-1(b)(4), 1.409A-1(b)(9) or otherwise.</w:t>
      </w:r>
    </w:p>
    <w:p>
      <w:pPr>
        <w:spacing w:after="0" w:line="204" w:lineRule="exact"/>
        <w:rPr>
          <w:rFonts w:ascii="Times New Roman" w:cs="Times New Roman" w:eastAsia="Times New Roman" w:hAnsi="Times New Roman"/>
          <w:sz w:val="17"/>
          <w:szCs w:val="17"/>
          <w:b w:val="1"/>
          <w:bCs w:val="1"/>
          <w:color w:val="auto"/>
        </w:rPr>
      </w:pPr>
    </w:p>
    <w:p>
      <w:pPr>
        <w:ind w:left="1480" w:hanging="723"/>
        <w:spacing w:after="0"/>
        <w:tabs>
          <w:tab w:leader="none" w:pos="1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option granted pursuant to Section 4 of the Plan that does not qualify as an Incentive Stock</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Option.</w:t>
      </w:r>
    </w:p>
    <w:p>
      <w:pPr>
        <w:spacing w:after="0" w:line="229"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who is an officer of the Company within the meaning of Section 16 of the Exchange Act.</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Incentive Stock Option or a Nonstatutory Stock Option to purchase shares of Common Stock granted pursuant to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w:t>
      </w:r>
    </w:p>
    <w:p>
      <w:pPr>
        <w:spacing w:after="0" w:line="229" w:lineRule="exact"/>
        <w:rPr>
          <w:rFonts w:ascii="Times New Roman" w:cs="Times New Roman" w:eastAsia="Times New Roman" w:hAnsi="Times New Roman"/>
          <w:sz w:val="18"/>
          <w:szCs w:val="18"/>
          <w:b w:val="1"/>
          <w:bCs w:val="1"/>
          <w:color w:val="auto"/>
        </w:rPr>
      </w:pPr>
    </w:p>
    <w:p>
      <w:pPr>
        <w:jc w:val="both"/>
        <w:ind w:right="180" w:firstLine="757"/>
        <w:spacing w:after="0" w:line="262" w:lineRule="auto"/>
        <w:tabs>
          <w:tab w:leader="none" w:pos="1514"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the Optionholder evidencing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3" w:lineRule="exact"/>
        <w:rPr>
          <w:rFonts w:ascii="Times New Roman" w:cs="Times New Roman" w:eastAsia="Times New Roman" w:hAnsi="Times New Roman"/>
          <w:sz w:val="18"/>
          <w:szCs w:val="18"/>
          <w:b w:val="1"/>
          <w:bCs w:val="1"/>
          <w:color w:val="auto"/>
        </w:rPr>
      </w:pPr>
    </w:p>
    <w:p>
      <w:pPr>
        <w:ind w:left="1520" w:hanging="763"/>
        <w:spacing w:after="0"/>
        <w:tabs>
          <w:tab w:leader="none" w:pos="15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to whom an Option is granted pursuant to the Plan or, if applicable, such other person who holds an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outstanding Option.</w:t>
      </w:r>
    </w:p>
    <w:p>
      <w:pPr>
        <w:spacing w:after="0" w:line="229" w:lineRule="exact"/>
        <w:rPr>
          <w:rFonts w:ascii="Times New Roman" w:cs="Times New Roman" w:eastAsia="Times New Roman" w:hAnsi="Times New Roman"/>
          <w:sz w:val="18"/>
          <w:szCs w:val="18"/>
          <w:b w:val="1"/>
          <w:bCs w:val="1"/>
          <w:color w:val="auto"/>
        </w:rPr>
      </w:pPr>
    </w:p>
    <w:p>
      <w:pPr>
        <w:ind w:firstLine="757"/>
        <w:spacing w:after="0" w:line="268" w:lineRule="auto"/>
        <w:tabs>
          <w:tab w:leader="none" w:pos="11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97" w:lineRule="exact"/>
        <w:rPr>
          <w:rFonts w:ascii="Times New Roman" w:cs="Times New Roman" w:eastAsia="Times New Roman" w:hAnsi="Times New Roman"/>
          <w:sz w:val="18"/>
          <w:szCs w:val="18"/>
          <w:b w:val="1"/>
          <w:bCs w:val="1"/>
          <w:color w:val="auto"/>
        </w:rPr>
      </w:pPr>
    </w:p>
    <w:p>
      <w:pPr>
        <w:ind w:right="120" w:firstLine="757"/>
        <w:spacing w:after="0" w:line="286" w:lineRule="auto"/>
        <w:tabs>
          <w:tab w:leader="none" w:pos="11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a holder of an Other Award evidencing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an Other Award grant. Each Other Award Agreement will be subject to the terms and conditions of the Plan.</w:t>
      </w:r>
    </w:p>
    <w:p>
      <w:pPr>
        <w:spacing w:after="0" w:line="181" w:lineRule="exact"/>
        <w:rPr>
          <w:rFonts w:ascii="Times New Roman" w:cs="Times New Roman" w:eastAsia="Times New Roman" w:hAnsi="Times New Roman"/>
          <w:sz w:val="18"/>
          <w:szCs w:val="18"/>
          <w:b w:val="1"/>
          <w:bCs w:val="1"/>
          <w:color w:val="auto"/>
        </w:rPr>
      </w:pPr>
    </w:p>
    <w:p>
      <w:pPr>
        <w:ind w:right="180" w:firstLine="757"/>
        <w:spacing w:after="0" w:line="286" w:lineRule="auto"/>
        <w:tabs>
          <w:tab w:leader="none" w:pos="1109"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that a person or Entity will be deemed to “Own,” to have “Owned,” to be the “Owner”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to have acquired “Ownership” of securities if such person or Entity, directly or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ind w:right="100"/>
        <w:spacing w:after="0" w:line="282" w:lineRule="auto"/>
        <w:rPr>
          <w:sz w:val="20"/>
          <w:szCs w:val="20"/>
          <w:color w:val="auto"/>
        </w:rPr>
      </w:pPr>
      <w:r>
        <w:rPr>
          <w:rFonts w:ascii="Times New Roman" w:cs="Times New Roman" w:eastAsia="Times New Roman" w:hAnsi="Times New Roman"/>
          <w:sz w:val="18"/>
          <w:szCs w:val="18"/>
          <w:color w:val="auto"/>
        </w:rPr>
        <w:t>indirectly, through any contract, arrangement, understanding, relationship or otherwise, has or shares voting power, which includes the power to vote or to direct the voting, with respect to such securities.</w:t>
      </w:r>
    </w:p>
    <w:p>
      <w:pPr>
        <w:spacing w:after="0" w:line="185" w:lineRule="exact"/>
        <w:rPr>
          <w:sz w:val="20"/>
          <w:szCs w:val="20"/>
          <w:color w:val="auto"/>
        </w:rPr>
      </w:pPr>
    </w:p>
    <w:p>
      <w:pPr>
        <w:ind w:right="220" w:firstLine="757"/>
        <w:spacing w:after="0" w:line="286" w:lineRule="auto"/>
        <w:tabs>
          <w:tab w:leader="none" w:pos="1109"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Employee, Director or Consultant to whom an Award is granted pursuant to the Plan or, if applicable,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who holds an outstanding Award.</w:t>
      </w:r>
    </w:p>
    <w:p>
      <w:pPr>
        <w:spacing w:after="0" w:line="181" w:lineRule="exact"/>
        <w:rPr>
          <w:rFonts w:ascii="Times New Roman" w:cs="Times New Roman" w:eastAsia="Times New Roman" w:hAnsi="Times New Roman"/>
          <w:sz w:val="18"/>
          <w:szCs w:val="18"/>
          <w:b w:val="1"/>
          <w:bCs w:val="1"/>
          <w:color w:val="auto"/>
        </w:rPr>
      </w:pPr>
    </w:p>
    <w:p>
      <w:pPr>
        <w:ind w:right="100" w:firstLine="757"/>
        <w:spacing w:after="0" w:line="259" w:lineRule="auto"/>
        <w:tabs>
          <w:tab w:leader="none" w:pos="1109"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that may vest or may be exercised or a cash award that may vest or become earned and 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206" w:lineRule="exact"/>
        <w:rPr>
          <w:rFonts w:ascii="Times New Roman" w:cs="Times New Roman" w:eastAsia="Times New Roman" w:hAnsi="Times New Roman"/>
          <w:sz w:val="18"/>
          <w:szCs w:val="18"/>
          <w:b w:val="1"/>
          <w:bCs w:val="1"/>
          <w:color w:val="auto"/>
        </w:rPr>
      </w:pPr>
    </w:p>
    <w:p>
      <w:pPr>
        <w:ind w:firstLine="757"/>
        <w:spacing w:after="0" w:line="252" w:lineRule="auto"/>
        <w:tabs>
          <w:tab w:leader="none" w:pos="1469"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one or more criteria that the Board will select for purposes of establishing the Performance Goals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221" w:lineRule="exact"/>
        <w:rPr>
          <w:rFonts w:ascii="Times New Roman" w:cs="Times New Roman" w:eastAsia="Times New Roman" w:hAnsi="Times New Roman"/>
          <w:sz w:val="18"/>
          <w:szCs w:val="18"/>
          <w:b w:val="1"/>
          <w:bCs w:val="1"/>
          <w:color w:val="auto"/>
        </w:rPr>
      </w:pPr>
    </w:p>
    <w:p>
      <w:pPr>
        <w:ind w:right="20" w:firstLine="757"/>
        <w:spacing w:after="0" w:line="254" w:lineRule="auto"/>
        <w:tabs>
          <w:tab w:leader="none" w:pos="1109"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a Performance Period, one or more goals established by the Board for the Performance Period based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w:t>
      </w:r>
    </w:p>
    <w:p>
      <w:pPr>
        <w:ind w:right="80" w:firstLine="8"/>
        <w:spacing w:after="0" w:line="250" w:lineRule="auto"/>
        <w:tabs>
          <w:tab w:leader="none" w:pos="25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w:t>
      </w:r>
    </w:p>
    <w:p>
      <w:pPr>
        <w:ind w:right="40" w:firstLine="8"/>
        <w:spacing w:after="0" w:line="250" w:lineRule="auto"/>
        <w:tabs>
          <w:tab w:leader="none" w:pos="2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w:t>
      </w:r>
    </w:p>
    <w:p>
      <w:pPr>
        <w:spacing w:after="0" w:line="2" w:lineRule="exact"/>
        <w:rPr>
          <w:rFonts w:ascii="Times New Roman" w:cs="Times New Roman" w:eastAsia="Times New Roman" w:hAnsi="Times New Roman"/>
          <w:sz w:val="18"/>
          <w:szCs w:val="18"/>
          <w:color w:val="auto"/>
        </w:rPr>
      </w:pPr>
    </w:p>
    <w:p>
      <w:pPr>
        <w:ind w:right="160" w:firstLine="8"/>
        <w:spacing w:after="0" w:line="253" w:lineRule="auto"/>
        <w:tabs>
          <w:tab w:leader="none" w:pos="34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2" w:name="page33"/>
    <w:bookmarkEnd w:id="32"/>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99" w:lineRule="exact"/>
        <w:rPr>
          <w:sz w:val="20"/>
          <w:szCs w:val="20"/>
          <w:color w:val="auto"/>
        </w:rPr>
      </w:pPr>
    </w:p>
    <w:p>
      <w:pPr>
        <w:ind w:firstLine="757"/>
        <w:spacing w:after="0" w:line="268" w:lineRule="auto"/>
        <w:tabs>
          <w:tab w:leader="none" w:pos="1109"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period of time selected by the Board over which the attainment of one or more Performance Goals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measured for the purpose of determining a Participant’s right to vesting or exercise of an Award. Performance Periods may be of varying and overlapping duration, at the sole discretion of the Board.</w:t>
      </w:r>
    </w:p>
    <w:p>
      <w:pPr>
        <w:spacing w:after="0" w:line="197"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this Acrivon Therapeutics, Inc. Amended and Restated 2022 Equity Incentive Plan, as amended from time to time.</w:t>
      </w:r>
    </w:p>
    <w:p>
      <w:pPr>
        <w:spacing w:after="0" w:line="252" w:lineRule="exact"/>
        <w:rPr>
          <w:sz w:val="20"/>
          <w:szCs w:val="20"/>
          <w:color w:val="auto"/>
        </w:rPr>
      </w:pPr>
    </w:p>
    <w:p>
      <w:pPr>
        <w:ind w:right="40" w:firstLine="757"/>
        <w:spacing w:after="0" w:line="286"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person, persons, and/or third-party administrator designated by the Company to administer the day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operations of the Plan and the Company’s other equity incentive programs.</w:t>
      </w:r>
    </w:p>
    <w:p>
      <w:pPr>
        <w:spacing w:after="0" w:line="181" w:lineRule="exact"/>
        <w:rPr>
          <w:rFonts w:ascii="Times New Roman" w:cs="Times New Roman" w:eastAsia="Times New Roman" w:hAnsi="Times New Roman"/>
          <w:sz w:val="18"/>
          <w:szCs w:val="18"/>
          <w:b w:val="1"/>
          <w:bCs w:val="1"/>
          <w:color w:val="auto"/>
        </w:rPr>
      </w:pPr>
    </w:p>
    <w:p>
      <w:pPr>
        <w:ind w:right="200" w:firstLine="757"/>
        <w:spacing w:after="0" w:line="286"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period following termination of a Participant’s Continuous Service within which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SAR is exercisable, as specified in Section 4(h).</w:t>
      </w:r>
    </w:p>
    <w:p>
      <w:pPr>
        <w:spacing w:after="0" w:line="181" w:lineRule="exact"/>
        <w:rPr>
          <w:rFonts w:ascii="Times New Roman" w:cs="Times New Roman" w:eastAsia="Times New Roman" w:hAnsi="Times New Roman"/>
          <w:sz w:val="18"/>
          <w:szCs w:val="18"/>
          <w:b w:val="1"/>
          <w:bCs w:val="1"/>
          <w:color w:val="auto"/>
        </w:rPr>
      </w:pPr>
    </w:p>
    <w:p>
      <w:pPr>
        <w:ind w:right="60" w:firstLine="757"/>
        <w:spacing w:after="0" w:line="268"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Pre-funded Warrant</w:t>
      </w:r>
      <w:r>
        <w:rPr>
          <w:rFonts w:ascii="Times New Roman" w:cs="Times New Roman" w:eastAsia="Times New Roman" w:hAnsi="Times New Roman"/>
          <w:sz w:val="18"/>
          <w:szCs w:val="18"/>
          <w:color w:val="auto"/>
        </w:rPr>
        <w:t>” means a warrant or other right to purchase Common Stock held by a party, which warrant or other right (i)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nominal exercise price, (ii) was, except for such nominal exercise price, pre-funded at the time of grant, (iii) is not subject to forfeiture, and (iv) may or may not be subject to beneficial ownership limitation provisions.</w:t>
      </w:r>
    </w:p>
    <w:p>
      <w:pPr>
        <w:spacing w:after="0" w:line="197" w:lineRule="exact"/>
        <w:rPr>
          <w:rFonts w:ascii="Times New Roman" w:cs="Times New Roman" w:eastAsia="Times New Roman" w:hAnsi="Times New Roman"/>
          <w:sz w:val="18"/>
          <w:szCs w:val="18"/>
          <w:b w:val="1"/>
          <w:bCs w:val="1"/>
          <w:color w:val="auto"/>
        </w:rPr>
      </w:pPr>
    </w:p>
    <w:p>
      <w:pPr>
        <w:ind w:left="1520" w:hanging="763"/>
        <w:spacing w:after="0"/>
        <w:tabs>
          <w:tab w:leader="none" w:pos="1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Acrivon Therapeutics, Inc. 2019 Stock Incentive Plan.</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number of shares available for the grant of new awards under the Prior Plan as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Effective Date.</w:t>
      </w:r>
    </w:p>
    <w:p>
      <w:pPr>
        <w:spacing w:after="0" w:line="229" w:lineRule="exact"/>
        <w:rPr>
          <w:rFonts w:ascii="Times New Roman" w:cs="Times New Roman" w:eastAsia="Times New Roman" w:hAnsi="Times New Roman"/>
          <w:sz w:val="18"/>
          <w:szCs w:val="18"/>
          <w:b w:val="1"/>
          <w:bCs w:val="1"/>
          <w:color w:val="auto"/>
        </w:rPr>
      </w:pPr>
    </w:p>
    <w:p>
      <w:pPr>
        <w:ind w:left="1160" w:hanging="403"/>
        <w:spacing w:after="0"/>
        <w:tabs>
          <w:tab w:leader="none" w:pos="116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b w:val="1"/>
          <w:bCs w:val="1"/>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of shares of Common Stock which is granted pursuant to the terms and conditions</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Section 5(a).</w:t>
      </w:r>
    </w:p>
    <w:p>
      <w:pPr>
        <w:spacing w:after="0" w:line="229" w:lineRule="exact"/>
        <w:rPr>
          <w:rFonts w:ascii="Times New Roman" w:cs="Times New Roman" w:eastAsia="Times New Roman" w:hAnsi="Times New Roman"/>
          <w:sz w:val="18"/>
          <w:szCs w:val="18"/>
          <w:b w:val="1"/>
          <w:bCs w:val="1"/>
          <w:color w:val="auto"/>
        </w:rPr>
      </w:pPr>
    </w:p>
    <w:p>
      <w:pPr>
        <w:ind w:firstLine="757"/>
        <w:spacing w:after="0" w:line="259"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a holder of a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206" w:lineRule="exact"/>
        <w:rPr>
          <w:rFonts w:ascii="Times New Roman" w:cs="Times New Roman" w:eastAsia="Times New Roman" w:hAnsi="Times New Roman"/>
          <w:sz w:val="18"/>
          <w:szCs w:val="18"/>
          <w:b w:val="1"/>
          <w:bCs w:val="1"/>
          <w:color w:val="auto"/>
        </w:rPr>
      </w:pPr>
    </w:p>
    <w:p>
      <w:pPr>
        <w:jc w:val="both"/>
        <w:ind w:right="80" w:firstLine="757"/>
        <w:spacing w:after="0" w:line="259"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shares subject to outstanding stock awards granted under the Prior Plan and that following the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206" w:lineRule="exact"/>
        <w:rPr>
          <w:rFonts w:ascii="Times New Roman" w:cs="Times New Roman" w:eastAsia="Times New Roman" w:hAnsi="Times New Roman"/>
          <w:sz w:val="18"/>
          <w:szCs w:val="18"/>
          <w:b w:val="1"/>
          <w:bCs w:val="1"/>
          <w:color w:val="auto"/>
        </w:rPr>
      </w:pPr>
    </w:p>
    <w:p>
      <w:pPr>
        <w:ind w:right="420" w:firstLine="757"/>
        <w:spacing w:after="0" w:line="286" w:lineRule="auto"/>
        <w:tabs>
          <w:tab w:leader="none" w:pos="1154"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b w:val="1"/>
          <w:bCs w:val="1"/>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of restricted stock units representing the right to receive an issuance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which is granted pursuant to the terms and conditions of Section 5(a).</w:t>
      </w:r>
    </w:p>
    <w:p>
      <w:pPr>
        <w:spacing w:after="0" w:line="181" w:lineRule="exact"/>
        <w:rPr>
          <w:rFonts w:ascii="Times New Roman" w:cs="Times New Roman" w:eastAsia="Times New Roman" w:hAnsi="Times New Roman"/>
          <w:sz w:val="18"/>
          <w:szCs w:val="18"/>
          <w:b w:val="1"/>
          <w:bCs w:val="1"/>
          <w:color w:val="auto"/>
        </w:rPr>
      </w:pPr>
    </w:p>
    <w:p>
      <w:pPr>
        <w:ind w:right="40" w:firstLine="757"/>
        <w:spacing w:after="0" w:line="262" w:lineRule="auto"/>
        <w:tabs>
          <w:tab w:leader="none" w:pos="146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a holder of an RSU Award evidencing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3" w:name="page34"/>
    <w:bookmarkEnd w:id="33"/>
    <w:p>
      <w:pPr>
        <w:ind w:left="1480" w:hanging="723"/>
        <w:spacing w:after="0"/>
        <w:tabs>
          <w:tab w:leader="none" w:pos="14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Rule 16b-3 promulgated under the Exchange Act or any successor to Rule 16b-3, as in effect from time to time.</w:t>
      </w:r>
    </w:p>
    <w:p>
      <w:pPr>
        <w:spacing w:after="0" w:line="252"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Rule 405 promulgated under the Securities Act.</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Section 409A of the Code and the regulations and other guidance thereunder.</w:t>
      </w:r>
    </w:p>
    <w:p>
      <w:pPr>
        <w:spacing w:after="0" w:line="252" w:lineRule="exact"/>
        <w:rPr>
          <w:sz w:val="20"/>
          <w:szCs w:val="20"/>
          <w:color w:val="auto"/>
        </w:rPr>
      </w:pPr>
    </w:p>
    <w:p>
      <w:pPr>
        <w:ind w:right="260" w:firstLine="74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nnn) “</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98" w:lineRule="exact"/>
        <w:rPr>
          <w:sz w:val="20"/>
          <w:szCs w:val="20"/>
          <w:color w:val="auto"/>
        </w:rPr>
      </w:pPr>
    </w:p>
    <w:p>
      <w:pPr>
        <w:ind w:left="1480" w:hanging="723"/>
        <w:spacing w:after="0"/>
        <w:tabs>
          <w:tab w:leader="none" w:pos="14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252" w:lineRule="exact"/>
        <w:rPr>
          <w:rFonts w:ascii="Times New Roman" w:cs="Times New Roman" w:eastAsia="Times New Roman" w:hAnsi="Times New Roman"/>
          <w:sz w:val="18"/>
          <w:szCs w:val="18"/>
          <w:b w:val="1"/>
          <w:bCs w:val="1"/>
          <w:color w:val="auto"/>
        </w:rPr>
      </w:pPr>
    </w:p>
    <w:p>
      <w:pPr>
        <w:ind w:left="1480" w:hanging="723"/>
        <w:spacing w:after="0"/>
        <w:tabs>
          <w:tab w:leader="none" w:pos="148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number of shares available for issuance under the Plan as set forth in Section 2(a).</w:t>
      </w:r>
    </w:p>
    <w:p>
      <w:pPr>
        <w:spacing w:after="0" w:line="252" w:lineRule="exact"/>
        <w:rPr>
          <w:rFonts w:ascii="Times New Roman" w:cs="Times New Roman" w:eastAsia="Times New Roman" w:hAnsi="Times New Roman"/>
          <w:sz w:val="18"/>
          <w:szCs w:val="18"/>
          <w:b w:val="1"/>
          <w:bCs w:val="1"/>
          <w:color w:val="auto"/>
        </w:rPr>
      </w:pPr>
    </w:p>
    <w:p>
      <w:pPr>
        <w:ind w:right="360" w:firstLine="757"/>
        <w:spacing w:after="0" w:line="286" w:lineRule="auto"/>
        <w:tabs>
          <w:tab w:leader="none" w:pos="14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b w:val="1"/>
          <w:b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right to receive the appreciation on Common Stock that is granted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Section 4.</w:t>
      </w:r>
    </w:p>
    <w:p>
      <w:pPr>
        <w:spacing w:after="0" w:line="181" w:lineRule="exact"/>
        <w:rPr>
          <w:rFonts w:ascii="Times New Roman" w:cs="Times New Roman" w:eastAsia="Times New Roman" w:hAnsi="Times New Roman"/>
          <w:sz w:val="18"/>
          <w:szCs w:val="18"/>
          <w:b w:val="1"/>
          <w:bCs w:val="1"/>
          <w:color w:val="auto"/>
        </w:rPr>
      </w:pPr>
    </w:p>
    <w:p>
      <w:pPr>
        <w:ind w:right="100" w:firstLine="757"/>
        <w:spacing w:after="0" w:line="262" w:lineRule="auto"/>
        <w:tabs>
          <w:tab w:leader="none" w:pos="14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written or electronic agreement between the Company and a holder of a SAR evidencing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203" w:lineRule="exact"/>
        <w:rPr>
          <w:rFonts w:ascii="Times New Roman" w:cs="Times New Roman" w:eastAsia="Times New Roman" w:hAnsi="Times New Roman"/>
          <w:sz w:val="18"/>
          <w:szCs w:val="18"/>
          <w:b w:val="1"/>
          <w:bCs w:val="1"/>
          <w:color w:val="auto"/>
        </w:rPr>
      </w:pPr>
    </w:p>
    <w:p>
      <w:pPr>
        <w:ind w:right="100" w:firstLine="757"/>
        <w:spacing w:after="0" w:line="259" w:lineRule="auto"/>
        <w:tabs>
          <w:tab w:leader="none" w:pos="115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with respect to the Company, (i) any corporation of which more than 50% of the outstanding capital stock having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6" w:lineRule="exact"/>
        <w:rPr>
          <w:rFonts w:ascii="Times New Roman" w:cs="Times New Roman" w:eastAsia="Times New Roman" w:hAnsi="Times New Roman"/>
          <w:sz w:val="18"/>
          <w:szCs w:val="18"/>
          <w:b w:val="1"/>
          <w:bCs w:val="1"/>
          <w:color w:val="auto"/>
        </w:rPr>
      </w:pPr>
    </w:p>
    <w:p>
      <w:pPr>
        <w:ind w:right="300" w:firstLine="757"/>
        <w:spacing w:after="0" w:line="286" w:lineRule="auto"/>
        <w:tabs>
          <w:tab w:leader="none" w:pos="1154"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who Owns (or is deemed to Own pursuant to Section 424(d) of the Code) stock possessing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more than 10% of the total combined voting power of all classes of stock of the Company or any Affiliate.</w:t>
      </w:r>
    </w:p>
    <w:p>
      <w:pPr>
        <w:spacing w:after="0" w:line="181" w:lineRule="exact"/>
        <w:rPr>
          <w:rFonts w:ascii="Times New Roman" w:cs="Times New Roman" w:eastAsia="Times New Roman" w:hAnsi="Times New Roman"/>
          <w:sz w:val="18"/>
          <w:szCs w:val="18"/>
          <w:b w:val="1"/>
          <w:bCs w:val="1"/>
          <w:color w:val="auto"/>
        </w:rPr>
      </w:pPr>
    </w:p>
    <w:p>
      <w:pPr>
        <w:ind w:right="220" w:firstLine="757"/>
        <w:spacing w:after="0" w:line="286" w:lineRule="auto"/>
        <w:tabs>
          <w:tab w:leader="none" w:pos="14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Company’s policy permitting certain individuals to sell Company shares only during certain "window"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and/or otherwise restricts the ability of certain individuals to transfer or encumber Company shares, as in effect from time to time.</w:t>
      </w:r>
    </w:p>
    <w:p>
      <w:pPr>
        <w:spacing w:after="0" w:line="181" w:lineRule="exact"/>
        <w:rPr>
          <w:rFonts w:ascii="Times New Roman" w:cs="Times New Roman" w:eastAsia="Times New Roman" w:hAnsi="Times New Roman"/>
          <w:sz w:val="18"/>
          <w:szCs w:val="18"/>
          <w:b w:val="1"/>
          <w:bCs w:val="1"/>
          <w:color w:val="auto"/>
        </w:rPr>
      </w:pPr>
    </w:p>
    <w:p>
      <w:pPr>
        <w:ind w:right="120" w:firstLine="757"/>
        <w:spacing w:after="0" w:line="286" w:lineRule="auto"/>
        <w:tabs>
          <w:tab w:leader="none" w:pos="14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portion of any Non-Exempt Award that had not vested in accordance with its terms upon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prior to the date of any Corporate Transaction.</w:t>
      </w:r>
    </w:p>
    <w:p>
      <w:pPr>
        <w:spacing w:after="0" w:line="181" w:lineRule="exact"/>
        <w:rPr>
          <w:rFonts w:ascii="Times New Roman" w:cs="Times New Roman" w:eastAsia="Times New Roman" w:hAnsi="Times New Roman"/>
          <w:sz w:val="18"/>
          <w:szCs w:val="18"/>
          <w:b w:val="1"/>
          <w:bCs w:val="1"/>
          <w:color w:val="auto"/>
        </w:rPr>
      </w:pPr>
    </w:p>
    <w:p>
      <w:pPr>
        <w:ind w:firstLine="757"/>
        <w:spacing w:after="0" w:line="286" w:lineRule="auto"/>
        <w:tabs>
          <w:tab w:leader="none" w:pos="146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portion of any Non-Exempt Award that had vested in accordance with its terms upon or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date of a Corporate Transaction.</w:t>
      </w: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572125" cy="7209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5"/>
          <w:szCs w:val="5"/>
          <w:color w:val="FFFFFF"/>
        </w:rPr>
        <w:t>Your vote P.O. BOX 8016, CARY, NC 27512-9903 matters! Have your ballot ready and please use one of the methods below for easy voting: Have the 12 digit control number located in the box above available when you access the website and follow the instructions. Internet:Acrivon Therapeutics, Inc. www.proxypush.com/ACRV ••Cast your vote online ••Have your Proxy Card ready ••Follow the simple instructions to record your vote For Stockholders of record as of April 23, 2026 Phone: 1-866-316-1838Wednesday, June 17, 2026 1:00 PM, Eastern Time ••Use any touch-tone telephone Annual meeting to be held virtually via the internet - please visit ••Have your Proxy Card ready www.proxypush.com/ACRV for more details. ••Follow the simple recorded instructions Mail: ••Mark, sign and date your Proxy Card ••Fold and return your Proxy Card in the postage-paid YOUR VOTE IS IMPORTANT! envelope provided PLEASE VOTE BY: 1:00 PM, Eastern Time, June 17, 2026. Virtual: You must register to attend the meeting online and/or participate at www.proxydocs.com/ACRV This proxy is being solicited on behalf of the Board of Directors The undersigned hereby appoints Adam Levy and Mary-Alice Miller (the "Named Proxies"), and each or either of them, as the true and lawful attorneys of the undersigned, with full power of substitution and revocation, and authorizes them, and each of them, to vote all the shares of capital stock of Acrivon Therapeutics,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 THE SHARES REPRESENTED BY THIS PROXY WILL BE VOTED AS DIRECTED OR, IF NO DIRECTION IS GIVEN, SHARES WILL BE VOTED IDENTICAL TO THE BOARD OF DIRECTORS RECOMMENDATION. This proxy, when properly executed, will be voted in the manner directed herein. In their discretion, the Named Proxies are authorized to vote upon such other matters that may properly come before the meeting or any adjournment or postponement thereof. You are encouraged to specify your choice by marking the appropriate box (SEE REVERSE SIDE) but you need not mark any box if you wish to vote in accordance with the Board of Directors’ recommendation. The Named Proxies cannot vote your shares unless you sign (on the reverse side) and return this card. PLEASE BE SURE TO SIGN AND DATE THIS PROXY CARD AND MARK ON THE REVERSE SIDE Copyright © 2026 BetaNXT, Inc. or its affiliates. All Rights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5572125" cy="72091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5572125" cy="7209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223" w:lineRule="auto"/>
        <w:rPr>
          <w:sz w:val="20"/>
          <w:szCs w:val="20"/>
          <w:color w:val="auto"/>
        </w:rPr>
      </w:pPr>
      <w:r>
        <w:rPr>
          <w:rFonts w:ascii="Times New Roman" w:cs="Times New Roman" w:eastAsia="Times New Roman" w:hAnsi="Times New Roman"/>
          <w:sz w:val="8"/>
          <w:szCs w:val="8"/>
          <w:color w:val="FFFFFF"/>
        </w:rPr>
        <w:t>Acrivon Therapeutics, Inc. Annual Meeting of Stockholders Please make your marks like this: THE BOARD OF IRECTORS RECOMMENDS A VOTE: FOR ALL DIRECTOR NOMINEES AND FOR PROPOSALS 2 AND 3 BOARD OF DIRECTORS PROPOSAL YOUR VOTE RECOMMENDS 1. Election of Class I directors FOR ITHHOLD 1.01 Michael Tomsicek, M.B.A. FOR #P2# #P2# 1.02 Charles Baum, M.D., Ph.D. FOR #P3# #P3# FOR AGAINST BSTAIN 2. To ratify the appointment of PricewaterhouseCoopers LLP as independent registered public FOR #P4# #P4# P4# accounting firm for the fiscal year ending December 31, 2026. 3. To approve an amendment and restatement of the ompany's 2022 Equity Incentive Plan to, FOR #P5# #P5# #P5# among other things, increase the number of shares uthorized for issuance thereunder. 4. The transaction of such other business as may properly come before the meeting. You must register to attend the meeting online and/or participate at www.proxydocs.com/ACRV Authorized Signatures - Must be completed for your instructions to be executed. Please sign exactly as your name(s) appears on your account. If eld in joint tenancy, all persons should sign. Trustees, administrators, etc., should include title and authority. Corporations should provide full name of corporation and title of authorized officer signing the Proxy/Vote Form. Signature (and Title if applicable) Signature (if held jointly)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1."/>
      <w:numFmt w:val="decimal"/>
      <w:start w:val="1"/>
    </w:lvl>
  </w:abstractNum>
  <w:abstractNum w:abstractNumId="6">
    <w:nsid w:val="440BADFC"/>
    <w:multiLevelType w:val="hybridMultilevel"/>
    <w:lvl w:ilvl="0">
      <w:lvlJc w:val="left"/>
      <w:lvlText w:val="(%1)"/>
      <w:numFmt w:val="lowerRoman"/>
      <w:start w:val="1"/>
    </w:lvl>
  </w:abstractNum>
  <w:abstractNum w:abstractNumId="7">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
    <w:nsid w:val="3804823E"/>
    <w:multiLevelType w:val="hybridMultilevel"/>
    <w:lvl w:ilvl="0">
      <w:lvlJc w:val="left"/>
      <w:lvlText w:val="%1"/>
      <w:numFmt w:val="decimal"/>
      <w:start w:val="1"/>
    </w:lvl>
    <w:lvl w:ilvl="1">
      <w:lvlJc w:val="left"/>
      <w:lvlText w:val="(%2)"/>
      <w:numFmt w:val="lowerRoman"/>
      <w:start w:val="2"/>
    </w:lvl>
  </w:abstractNum>
  <w:abstractNum w:abstractNumId="9">
    <w:nsid w:val="77465F01"/>
    <w:multiLevelType w:val="hybridMultilevel"/>
    <w:lvl w:ilvl="0">
      <w:lvlJc w:val="left"/>
      <w:lvlText w:val="(%1)"/>
      <w:numFmt w:val="decimal"/>
      <w:start w:val="2"/>
    </w:lvl>
    <w:lvl w:ilvl="1">
      <w:lvlJc w:val="left"/>
      <w:lvlText w:val="(%2)"/>
      <w:numFmt w:val="lowerRoman"/>
      <w:start w:val="3"/>
    </w:lvl>
  </w:abstractNum>
  <w:abstractNum w:abstractNumId="10">
    <w:nsid w:val="7724C6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5C482A97"/>
    <w:multiLevelType w:val="hybridMultilevel"/>
    <w:lvl w:ilvl="0">
      <w:lvlJc w:val="left"/>
      <w:lvlText w:val="%1."/>
      <w:numFmt w:val="decimal"/>
      <w:start w:val="4"/>
    </w:lvl>
  </w:abstractNum>
  <w:abstractNum w:abstractNumId="12">
    <w:nsid w:val="2463B9EA"/>
    <w:multiLevelType w:val="hybridMultilevel"/>
    <w:lvl w:ilvl="0">
      <w:lvlJc w:val="left"/>
      <w:lvlText w:val="(%1)"/>
      <w:numFmt w:val="lowerLetter"/>
      <w:start w:val="1"/>
    </w:lvl>
    <w:lvl w:ilvl="1">
      <w:lvlJc w:val="left"/>
      <w:lvlText w:val="(%2)"/>
      <w:numFmt w:val="lowerRoman"/>
      <w:start w:val="1"/>
    </w:lvl>
  </w:abstractNum>
  <w:abstractNum w:abstractNumId="13">
    <w:nsid w:val="5E884ADC"/>
    <w:multiLevelType w:val="hybridMultilevel"/>
    <w:lvl w:ilvl="0">
      <w:lvlJc w:val="left"/>
      <w:lvlText w:val="%1"/>
      <w:numFmt w:val="lowerLetter"/>
      <w:start w:val="1"/>
    </w:lvl>
    <w:lvl w:ilvl="1">
      <w:lvlJc w:val="left"/>
      <w:lvlText w:val="(%2)"/>
      <w:numFmt w:val="lowerLetter"/>
      <w:start w:val="22"/>
    </w:lvl>
  </w:abstractNum>
  <w:abstractNum w:abstractNumId="14">
    <w:nsid w:val="51EAD36B"/>
    <w:multiLevelType w:val="hybridMultilevel"/>
    <w:lvl w:ilvl="0">
      <w:lvlJc w:val="left"/>
      <w:lvlText w:val="(%1)"/>
      <w:numFmt w:val="lowerLetter"/>
      <w:start w:val="4"/>
    </w:lvl>
    <w:lvl w:ilvl="1">
      <w:lvlJc w:val="left"/>
      <w:lvlText w:val="(%2)"/>
      <w:numFmt w:val="lowerLetter"/>
      <w:start w:val="9"/>
    </w:lvl>
  </w:abstractNum>
  <w:abstractNum w:abstractNumId="15">
    <w:nsid w:val="2D517796"/>
    <w:multiLevelType w:val="hybridMultilevel"/>
    <w:lvl w:ilvl="0">
      <w:lvlJc w:val="left"/>
      <w:lvlText w:val="%1"/>
      <w:numFmt w:val="lowerLetter"/>
      <w:start w:val="1"/>
    </w:lvl>
    <w:lvl w:ilvl="1">
      <w:lvlJc w:val="left"/>
      <w:lvlText w:val="(%2)"/>
      <w:numFmt w:val="lowerLetter"/>
      <w:start w:val="35"/>
    </w:lvl>
  </w:abstractNum>
  <w:abstractNum w:abstractNumId="16">
    <w:nsid w:val="580BD78F"/>
    <w:multiLevelType w:val="hybridMultilevel"/>
    <w:lvl w:ilvl="0">
      <w:lvlJc w:val="left"/>
      <w:lvlText w:val="(%1)"/>
      <w:numFmt w:val="lowerLetter"/>
      <w:start w:val="6"/>
    </w:lvl>
    <w:lvl w:ilvl="1">
      <w:lvlJc w:val="left"/>
      <w:lvlText w:val="(%2)"/>
      <w:numFmt w:val="lowerLetter"/>
      <w:start w:val="9"/>
    </w:lvl>
  </w:abstractNum>
  <w:abstractNum w:abstractNumId="17">
    <w:nsid w:val="153EA438"/>
    <w:multiLevelType w:val="hybridMultilevel"/>
    <w:lvl w:ilvl="0">
      <w:lvlJc w:val="left"/>
      <w:lvlText w:val="(%1)"/>
      <w:numFmt w:val="lowerRoman"/>
      <w:start w:val="2"/>
    </w:lvl>
  </w:abstractNum>
  <w:abstractNum w:abstractNumId="18">
    <w:nsid w:val="3855585C"/>
    <w:multiLevelType w:val="hybridMultilevel"/>
    <w:lvl w:ilvl="0">
      <w:lvlJc w:val="left"/>
      <w:lvlText w:val="(%1)"/>
      <w:numFmt w:val="lowerRoman"/>
      <w:start w:val="3"/>
    </w:lvl>
  </w:abstractNum>
  <w:abstractNum w:abstractNumId="19">
    <w:nsid w:val="70A64E2A"/>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20">
    <w:nsid w:val="6A2342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1">
    <w:nsid w:val="2A487CB0"/>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22">
    <w:nsid w:val="1D4ED43B"/>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23">
    <w:nsid w:val="725A06FB"/>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
    <w:nsid w:val="2CD89A3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5">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6">
    <w:nsid w:val="7A6D8D3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
    <w:nsid w:val="4B588F54"/>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8">
    <w:nsid w:val="542289EC"/>
    <w:multiLevelType w:val="hybridMultilevel"/>
    <w:lvl w:ilvl="0">
      <w:lvlJc w:val="left"/>
      <w:lvlText w:val="(%1)"/>
      <w:numFmt w:val="lowerRoman"/>
      <w:start w:val="3"/>
    </w:lvl>
  </w:abstractNum>
  <w:abstractNum w:abstractNumId="29">
    <w:nsid w:val="6DE91B18"/>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0">
    <w:nsid w:val="38437FD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1">
    <w:nsid w:val="7644A45C"/>
    <w:multiLevelType w:val="hybridMultilevel"/>
    <w:lvl w:ilvl="0">
      <w:lvlJc w:val="left"/>
      <w:lvlText w:val="%1"/>
      <w:numFmt w:val="decimal"/>
      <w:start w:val="1"/>
    </w:lvl>
    <w:lvl w:ilvl="1">
      <w:lvlJc w:val="left"/>
      <w:lvlText w:val="(%2)"/>
      <w:numFmt w:val="lowerLetter"/>
      <w:start w:val="4"/>
    </w:lvl>
  </w:abstractNum>
  <w:abstractNum w:abstractNumId="32">
    <w:nsid w:val="32FFF902"/>
    <w:multiLevelType w:val="hybridMultilevel"/>
    <w:lvl w:ilvl="0">
      <w:lvlJc w:val="left"/>
      <w:lvlText w:val="%1."/>
      <w:numFmt w:val="decimal"/>
      <w:start w:val="9"/>
    </w:lvl>
    <w:lvl w:ilvl="1">
      <w:lvlJc w:val="left"/>
      <w:lvlText w:val="(%2)"/>
      <w:numFmt w:val="lowerLetter"/>
      <w:start w:val="1"/>
    </w:lvl>
  </w:abstractNum>
  <w:abstractNum w:abstractNumId="33">
    <w:nsid w:val="684A481A"/>
    <w:multiLevelType w:val="hybridMultilevel"/>
    <w:lvl w:ilvl="0">
      <w:lvlJc w:val="left"/>
      <w:lvlText w:val="(%1)"/>
      <w:numFmt w:val="lowerLetter"/>
      <w:start w:val="6"/>
    </w:lvl>
  </w:abstractNum>
  <w:abstractNum w:abstractNumId="34">
    <w:nsid w:val="579478FE"/>
    <w:multiLevelType w:val="hybridMultilevel"/>
    <w:lvl w:ilvl="0">
      <w:lvlJc w:val="left"/>
      <w:lvlText w:val="(%1)"/>
      <w:numFmt w:val="lowerLetter"/>
      <w:start w:val="13"/>
    </w:lvl>
  </w:abstractNum>
  <w:abstractNum w:abstractNumId="35">
    <w:nsid w:val="749ABB43"/>
    <w:multiLevelType w:val="hybridMultilevel"/>
    <w:lvl w:ilvl="0">
      <w:lvlJc w:val="left"/>
      <w:lvlText w:val="%1."/>
      <w:numFmt w:val="decimal"/>
      <w:start w:val="10"/>
    </w:lvl>
  </w:abstractNum>
  <w:abstractNum w:abstractNumId="36">
    <w:nsid w:val="3DC240FB"/>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9"/>
    </w:lvl>
  </w:abstractNum>
  <w:abstractNum w:abstractNumId="37">
    <w:nsid w:val="1BA026FA"/>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38">
    <w:nsid w:val="79A1DEA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9">
    <w:nsid w:val="75C6C33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40">
    <w:nsid w:val="12E685F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41">
    <w:nsid w:val="70C6A529"/>
    <w:multiLevelType w:val="hybridMultilevel"/>
    <w:lvl w:ilvl="0">
      <w:lvlJc w:val="left"/>
      <w:lvlText w:val="%1"/>
      <w:numFmt w:val="decimal"/>
      <w:start w:val="1"/>
    </w:lvl>
    <w:lvl w:ilvl="1">
      <w:lvlJc w:val="left"/>
      <w:lvlText w:val="(%2)"/>
      <w:numFmt w:val="lowerRoman"/>
      <w:start w:val="4"/>
    </w:lvl>
  </w:abstractNum>
  <w:abstractNum w:abstractNumId="42">
    <w:nsid w:val="520EEDD1"/>
    <w:multiLevelType w:val="hybridMultilevel"/>
    <w:lvl w:ilvl="0">
      <w:lvlJc w:val="left"/>
      <w:lvlText w:val="%1."/>
      <w:numFmt w:val="decimal"/>
      <w:start w:val="12"/>
    </w:lvl>
    <w:lvl w:ilvl="1">
      <w:lvlJc w:val="left"/>
      <w:lvlText w:val="%2"/>
      <w:numFmt w:val="lowerRoman"/>
      <w:start w:val="1"/>
    </w:lvl>
  </w:abstractNum>
  <w:abstractNum w:abstractNumId="43">
    <w:nsid w:val="374A3FE6"/>
    <w:multiLevelType w:val="hybridMultilevel"/>
    <w:lvl w:ilvl="0">
      <w:lvlJc w:val="left"/>
      <w:lvlText w:val="%1."/>
      <w:numFmt w:val="decimal"/>
      <w:start w:val="13"/>
    </w:lvl>
  </w:abstractNum>
  <w:abstractNum w:abstractNumId="44">
    <w:nsid w:val="4F4EF005"/>
    <w:multiLevelType w:val="hybridMultilevel"/>
    <w:lvl w:ilvl="0">
      <w:lvlJc w:val="left"/>
      <w:lvlText w:val="(%1)"/>
      <w:numFmt w:val="lowerRoman"/>
      <w:start w:val="1"/>
    </w:lvl>
  </w:abstractNum>
  <w:abstractNum w:abstractNumId="45">
    <w:nsid w:val="23F9C13C"/>
    <w:multiLevelType w:val="hybridMultilevel"/>
    <w:lvl w:ilvl="0">
      <w:lvlJc w:val="left"/>
      <w:lvlText w:val="%1."/>
      <w:numFmt w:val="decimal"/>
      <w:start w:val="14"/>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1"/>
    </w:lvl>
    <w:lvl w:ilvl="1">
      <w:lvlJc w:val="left"/>
      <w:lvlText w:val="(%2)"/>
      <w:numFmt w:val="lowerLetter"/>
      <w:start w:val="8"/>
    </w:lvl>
    <w:lvl w:ilvl="2">
      <w:lvlJc w:val="left"/>
      <w:lvlText w:val="%3"/>
      <w:numFmt w:val="lowerRoman"/>
      <w:start w:val="1"/>
    </w:lvl>
  </w:abstractNum>
  <w:abstractNum w:abstractNumId="48">
    <w:nsid w:val="39386575"/>
    <w:multiLevelType w:val="hybridMultilevel"/>
    <w:lvl w:ilvl="0">
      <w:lvlJc w:val="left"/>
      <w:lvlText w:val="(%1)"/>
      <w:numFmt w:val="lowerLetter"/>
      <w:start w:val="22"/>
    </w:lvl>
    <w:lvl w:ilvl="1">
      <w:lvlJc w:val="left"/>
      <w:lvlText w:val="(%2)"/>
      <w:numFmt w:val="lowerLetter"/>
      <w:start w:val="10"/>
    </w:lvl>
    <w:lvl w:ilvl="2">
      <w:lvlJc w:val="left"/>
      <w:lvlText w:val="(%3)"/>
      <w:numFmt w:val="lowerRoman"/>
      <w:start w:val="1"/>
    </w:lvl>
  </w:abstractNum>
  <w:abstractNum w:abstractNumId="49">
    <w:nsid w:val="1CF10FD8"/>
    <w:multiLevelType w:val="hybridMultilevel"/>
    <w:lvl w:ilvl="0">
      <w:lvlJc w:val="left"/>
      <w:lvlText w:val="(%1)"/>
      <w:numFmt w:val="lowerRoman"/>
      <w:start w:val="4"/>
    </w:lvl>
  </w:abstractNum>
  <w:abstractNum w:abstractNumId="50">
    <w:nsid w:val="180115BE"/>
    <w:multiLevelType w:val="hybridMultilevel"/>
    <w:lvl w:ilvl="0">
      <w:lvlJc w:val="left"/>
      <w:lvlText w:val="(%1)"/>
      <w:numFmt w:val="lowerLetter"/>
      <w:start w:val="11"/>
    </w:lvl>
  </w:abstractNum>
  <w:abstractNum w:abstractNumId="51">
    <w:nsid w:val="235BA861"/>
    <w:multiLevelType w:val="hybridMultilevel"/>
    <w:lvl w:ilvl="0">
      <w:lvlJc w:val="left"/>
      <w:lvlText w:val="(%1)"/>
      <w:numFmt w:val="lowerLetter"/>
      <w:start w:val="18"/>
    </w:lvl>
    <w:lvl w:ilvl="1">
      <w:lvlJc w:val="left"/>
      <w:lvlText w:val="(%2)"/>
      <w:numFmt w:val="lowerRoman"/>
      <w:start w:val="1"/>
    </w:lvl>
  </w:abstractNum>
  <w:abstractNum w:abstractNumId="52">
    <w:nsid w:val="47398C89"/>
    <w:multiLevelType w:val="hybridMultilevel"/>
    <w:lvl w:ilvl="0">
      <w:lvlJc w:val="left"/>
      <w:lvlText w:val="(%1)"/>
      <w:numFmt w:val="lowerRoman"/>
      <w:start w:val="3"/>
    </w:lvl>
  </w:abstractNum>
  <w:abstractNum w:abstractNumId="53">
    <w:nsid w:val="354FE9F9"/>
    <w:multiLevelType w:val="hybridMultilevel"/>
    <w:lvl w:ilvl="0">
      <w:lvlJc w:val="left"/>
      <w:lvlText w:val="(%1)"/>
      <w:numFmt w:val="lowerLetter"/>
      <w:start w:val="19"/>
    </w:lvl>
  </w:abstractNum>
  <w:abstractNum w:abstractNumId="54">
    <w:nsid w:val="15B5AF5C"/>
    <w:multiLevelType w:val="hybridMultilevel"/>
    <w:lvl w:ilvl="0">
      <w:lvlJc w:val="left"/>
      <w:lvlText w:val="(%1)"/>
      <w:numFmt w:val="lowerLetter"/>
      <w:start w:val="27"/>
    </w:lvl>
    <w:lvl w:ilvl="1">
      <w:lvlJc w:val="left"/>
      <w:lvlText w:val="(%2)"/>
      <w:numFmt w:val="lowerRoman"/>
      <w:start w:val="1"/>
    </w:lvl>
  </w:abstractNum>
  <w:abstractNum w:abstractNumId="55">
    <w:nsid w:val="741226BB"/>
    <w:multiLevelType w:val="hybridMultilevel"/>
    <w:lvl w:ilvl="0">
      <w:lvlJc w:val="left"/>
      <w:lvlText w:val="(%1)"/>
      <w:numFmt w:val="lowerLetter"/>
      <w:start w:val="35"/>
    </w:lvl>
  </w:abstractNum>
  <w:abstractNum w:abstractNumId="56">
    <w:nsid w:val="D34B6A8"/>
    <w:multiLevelType w:val="hybridMultilevel"/>
    <w:lvl w:ilvl="0">
      <w:lvlJc w:val="left"/>
      <w:lvlText w:val="%1"/>
      <w:numFmt w:val="decimal"/>
      <w:start w:val="1"/>
    </w:lvl>
    <w:lvl w:ilvl="1">
      <w:lvlJc w:val="left"/>
      <w:lvlText w:val="(%2)"/>
      <w:numFmt w:val="lowerLetter"/>
      <w:start w:val="47"/>
    </w:lvl>
  </w:abstractNum>
  <w:abstractNum w:abstractNumId="57">
    <w:nsid w:val="10233C99"/>
    <w:multiLevelType w:val="hybridMultilevel"/>
    <w:lvl w:ilvl="0">
      <w:lvlJc w:val="left"/>
      <w:lvlText w:val="(%1)"/>
      <w:numFmt w:val="decimal"/>
      <w:start w:val="3"/>
    </w:lvl>
    <w:lvl w:ilvl="1">
      <w:lvlJc w:val="left"/>
      <w:lvlText w:val="%2"/>
      <w:numFmt w:val="lowerLetter"/>
      <w:start w:val="1"/>
    </w:lvl>
  </w:abstractNum>
  <w:abstractNum w:abstractNumId="58">
    <w:nsid w:val="3F6AB60F"/>
    <w:multiLevelType w:val="hybridMultilevel"/>
    <w:lvl w:ilvl="0">
      <w:lvlJc w:val="left"/>
      <w:lvlText w:val="(%1)"/>
      <w:numFmt w:val="decimal"/>
      <w:start w:val="6"/>
    </w:lvl>
    <w:lvl w:ilvl="1">
      <w:lvlJc w:val="left"/>
      <w:lvlText w:val="%2"/>
      <w:numFmt w:val="lowerLetter"/>
      <w:start w:val="1"/>
    </w:lvl>
  </w:abstractNum>
  <w:abstractNum w:abstractNumId="59">
    <w:nsid w:val="61574095"/>
    <w:multiLevelType w:val="hybridMultilevel"/>
    <w:lvl w:ilvl="0">
      <w:lvlJc w:val="left"/>
      <w:lvlText w:val="(%1)"/>
      <w:numFmt w:val="decimal"/>
      <w:start w:val="11"/>
    </w:lvl>
    <w:lvl w:ilvl="1">
      <w:lvlJc w:val="left"/>
      <w:lvlText w:val="%2"/>
      <w:numFmt w:val="lowerLetter"/>
      <w:start w:val="1"/>
    </w:lvl>
  </w:abstractNum>
  <w:abstractNum w:abstractNumId="60">
    <w:nsid w:val="7E0C57B1"/>
    <w:multiLevelType w:val="hybridMultilevel"/>
    <w:lvl w:ilvl="0">
      <w:lvlJc w:val="left"/>
      <w:lvlText w:val="(%1)"/>
      <w:numFmt w:val="lowerLetter"/>
      <w:start w:val="51"/>
    </w:lvl>
  </w:abstractNum>
  <w:abstractNum w:abstractNumId="61">
    <w:nsid w:val="77AE35EB"/>
    <w:multiLevelType w:val="hybridMultilevel"/>
    <w:lvl w:ilvl="0">
      <w:lvlJc w:val="left"/>
      <w:lvlText w:val="(%1)"/>
      <w:numFmt w:val="lowerLetter"/>
      <w:start w:val="53"/>
    </w:lvl>
  </w:abstractNum>
  <w:abstractNum w:abstractNumId="62">
    <w:nsid w:val="579BE4F1"/>
    <w:multiLevelType w:val="hybridMultilevel"/>
    <w:lvl w:ilvl="0">
      <w:lvlJc w:val="left"/>
      <w:lvlText w:val="(%1)"/>
      <w:numFmt w:val="lowerLetter"/>
      <w:start w:val="63"/>
    </w:lvl>
  </w:abstractNum>
  <w:abstractNum w:abstractNumId="63">
    <w:nsid w:val="310C50B3"/>
    <w:multiLevelType w:val="hybridMultilevel"/>
    <w:lvl w:ilvl="0">
      <w:lvlJc w:val="left"/>
      <w:lvlText w:val="(%1)"/>
      <w:numFmt w:val="lowerLetter"/>
      <w:start w:val="6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2026-05-22T15:11:58Z</dcterms:created>
  <dcterms:modified xsi:type="dcterms:W3CDTF">2026-05-22T15:11:58Z</dcterms:modified>
</cp:coreProperties>
</file>