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Acrivon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001-41551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82-5125532</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480 Arsenal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207-8979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ACRV</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June 17, 2026, Acrivon Therapeutics, Inc. (the “Company”) held its 2026 annual meeting of stockholders (the “Annual Meeting”). At the Annual Meeting, the Company’s stockholders approved the Acrivon Therapeutics, Inc. Amended and Restated 2022 Equity Incentive Plan (the “Amended and Restated 2022 Plan”), which previously had been approved by the Company’s Board of Directors (the “Board”), subject to stockholder approval. The following paragraphs provide a summary of certain terms of the Amended and Restated 2022 Plan.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purposes of the Amended and Restated 2022 Plan are to secure and retain the services of employees, non-employee directors and consultants, provide incentives for such persons to exert maximum efforts for the success of the Company and its affiliates, and provide such persons with an opportunity to benefit from increases in the value of the Company’s common stock through the granting of equity-based awards.</w:t>
      </w:r>
    </w:p>
    <w:p>
      <w:pPr>
        <w:spacing w:after="0" w:line="176"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Under the Amended and Restated 2022 Plan, the Company may grant incentive stock options, nonstatutory stock options, stock appreciation rights, restricted stock awards, restricted stock unit awards, performance awards and other stock-based awards.</w:t>
      </w:r>
    </w:p>
    <w:p>
      <w:pPr>
        <w:ind w:right="10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Amended and Restated 2022 Plan, the aggregate number of shares of the Company’s common stock that may be issued pursuant to awards granted under the Amended and Restated 2022 Plan is 8,606,723 shares, which includes an increase of 3,000,000 shares approved by the Company’s stockholders at the Annual Meeting. In addition, under the terms of the Amended and Restated 2022 Plan, the share reserve automatically increases on January 1 of each year through 2032 by an amount equal to 5% of the Company’s fully diluted shares (including outstanding pre-funded warrants) outstanding on the immediately preceding December 31, unless the Board determines a lesser increase for a given year.</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2022 Plan does not purport to be complete and is qualified in its entirety by reference to the complete text of the Amended and Restated 2022 Plan, which is attached hereto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the Annual Meeting, a quorum of 31,336,993.43 shares of the Company’s common stock, or 73.21% of the outstanding shares of common stock entitled to vote as of the record date of April 23, 2026, were present or represented by proxy.</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Three items of business were acted upon by the stockholders at the Annual Meeting. The final results for the votes regarding each proposal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One: Election of Michael Tomsicek, M.B.A. and Charles Baum, M.D., Ph.D. as Class I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Michael Tomsicek, M.B.A. and Charles Baum, M.D., Ph.D. were each elected to serve as a Class I director to hold office until the Company’s 2029 Annual Meeting of Stockholders and until the election and qualification of his successor. Votes were cast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7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6"/>
        </w:trPr>
        <w:tc>
          <w:tcPr>
            <w:tcW w:w="322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Michael Tomsicek, M.B.A.</w:t>
            </w:r>
          </w:p>
        </w:tc>
        <w:tc>
          <w:tcPr>
            <w:tcW w:w="2940" w:type="dxa"/>
            <w:vAlign w:val="bottom"/>
            <w:shd w:val="clear" w:color="auto" w:fill="CAEEFB"/>
          </w:tcPr>
          <w:p>
            <w:pPr>
              <w:jc w:val="center"/>
              <w:ind w:left="250"/>
              <w:spacing w:after="0"/>
              <w:rPr>
                <w:sz w:val="20"/>
                <w:szCs w:val="20"/>
                <w:color w:val="auto"/>
              </w:rPr>
            </w:pPr>
            <w:r>
              <w:rPr>
                <w:rFonts w:ascii="Times New Roman" w:cs="Times New Roman" w:eastAsia="Times New Roman" w:hAnsi="Times New Roman"/>
                <w:sz w:val="18"/>
                <w:szCs w:val="18"/>
                <w:color w:val="auto"/>
                <w:w w:val="98"/>
              </w:rPr>
              <w:t>24,020,408</w:t>
            </w:r>
          </w:p>
        </w:tc>
        <w:tc>
          <w:tcPr>
            <w:tcW w:w="2360" w:type="dxa"/>
            <w:vAlign w:val="bottom"/>
            <w:shd w:val="clear" w:color="auto" w:fill="CAEEFB"/>
          </w:tcPr>
          <w:p>
            <w:pPr>
              <w:ind w:left="880"/>
              <w:spacing w:after="0"/>
              <w:rPr>
                <w:sz w:val="20"/>
                <w:szCs w:val="20"/>
                <w:color w:val="auto"/>
              </w:rPr>
            </w:pPr>
            <w:r>
              <w:rPr>
                <w:rFonts w:ascii="Times New Roman" w:cs="Times New Roman" w:eastAsia="Times New Roman" w:hAnsi="Times New Roman"/>
                <w:sz w:val="18"/>
                <w:szCs w:val="18"/>
                <w:color w:val="auto"/>
              </w:rPr>
              <w:t>1,229,385</w:t>
            </w:r>
          </w:p>
        </w:tc>
        <w:tc>
          <w:tcPr>
            <w:tcW w:w="2720" w:type="dxa"/>
            <w:vAlign w:val="bottom"/>
            <w:shd w:val="clear" w:color="auto" w:fill="CAEEFB"/>
          </w:tcPr>
          <w:p>
            <w:pPr>
              <w:jc w:val="center"/>
              <w:ind w:left="70"/>
              <w:spacing w:after="0"/>
              <w:rPr>
                <w:sz w:val="20"/>
                <w:szCs w:val="20"/>
                <w:color w:val="auto"/>
              </w:rPr>
            </w:pPr>
            <w:r>
              <w:rPr>
                <w:rFonts w:ascii="Times New Roman" w:cs="Times New Roman" w:eastAsia="Times New Roman" w:hAnsi="Times New Roman"/>
                <w:sz w:val="18"/>
                <w:szCs w:val="18"/>
                <w:color w:val="auto"/>
                <w:w w:val="99"/>
              </w:rPr>
              <w:t>6,087,200</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Charles Baum, M.D., Ph.D.</w:t>
            </w:r>
          </w:p>
        </w:tc>
        <w:tc>
          <w:tcPr>
            <w:tcW w:w="29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23,657,074</w:t>
            </w:r>
          </w:p>
        </w:tc>
        <w:tc>
          <w:tcPr>
            <w:tcW w:w="2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1,592,719</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6,087,200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Two: Ratification of Appointment of Independent Registered Public Accounting Firm.</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PricewaterhouseCoopers LLP as the Company’s independent registered public accounting firm for the fiscal year ending December 31, 2026 by the following vote: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860" w:type="dxa"/>
            <w:vAlign w:val="bottom"/>
            <w:shd w:val="clear" w:color="auto" w:fill="CAEEFB"/>
          </w:tcPr>
          <w:p>
            <w:pPr>
              <w:jc w:val="right"/>
              <w:ind w:right="950"/>
              <w:spacing w:after="0"/>
              <w:rPr>
                <w:sz w:val="20"/>
                <w:szCs w:val="20"/>
                <w:color w:val="auto"/>
              </w:rPr>
            </w:pPr>
            <w:r>
              <w:rPr>
                <w:rFonts w:ascii="Times New Roman" w:cs="Times New Roman" w:eastAsia="Times New Roman" w:hAnsi="Times New Roman"/>
                <w:sz w:val="18"/>
                <w:szCs w:val="18"/>
                <w:color w:val="auto"/>
              </w:rPr>
              <w:t>31,278,962</w:t>
            </w:r>
          </w:p>
        </w:tc>
        <w:tc>
          <w:tcPr>
            <w:tcW w:w="2760" w:type="dxa"/>
            <w:vAlign w:val="bottom"/>
            <w:shd w:val="clear" w:color="auto" w:fill="CAEEFB"/>
          </w:tcPr>
          <w:p>
            <w:pPr>
              <w:jc w:val="right"/>
              <w:ind w:right="1070"/>
              <w:spacing w:after="0"/>
              <w:rPr>
                <w:sz w:val="20"/>
                <w:szCs w:val="20"/>
                <w:color w:val="auto"/>
              </w:rPr>
            </w:pPr>
            <w:r>
              <w:rPr>
                <w:rFonts w:ascii="Times New Roman" w:cs="Times New Roman" w:eastAsia="Times New Roman" w:hAnsi="Times New Roman"/>
                <w:sz w:val="18"/>
                <w:szCs w:val="18"/>
                <w:color w:val="auto"/>
              </w:rPr>
              <w:t>53,857</w:t>
            </w:r>
          </w:p>
        </w:tc>
        <w:tc>
          <w:tcPr>
            <w:tcW w:w="2600" w:type="dxa"/>
            <w:vAlign w:val="bottom"/>
            <w:shd w:val="clear" w:color="auto" w:fill="CAEEFB"/>
          </w:tcPr>
          <w:p>
            <w:pPr>
              <w:jc w:val="right"/>
              <w:ind w:right="910"/>
              <w:spacing w:after="0"/>
              <w:rPr>
                <w:sz w:val="20"/>
                <w:szCs w:val="20"/>
                <w:color w:val="auto"/>
              </w:rPr>
            </w:pPr>
            <w:r>
              <w:rPr>
                <w:rFonts w:ascii="Times New Roman" w:cs="Times New Roman" w:eastAsia="Times New Roman" w:hAnsi="Times New Roman"/>
                <w:sz w:val="18"/>
                <w:szCs w:val="18"/>
                <w:color w:val="auto"/>
              </w:rPr>
              <w:t>4,174</w:t>
            </w:r>
          </w:p>
        </w:tc>
        <w:tc>
          <w:tcPr>
            <w:tcW w:w="3020" w:type="dxa"/>
            <w:vAlign w:val="bottom"/>
            <w:shd w:val="clear" w:color="auto" w:fill="CAEEFB"/>
          </w:tcPr>
          <w:p>
            <w:pPr>
              <w:jc w:val="right"/>
              <w:ind w:right="1270"/>
              <w:spacing w:after="0"/>
              <w:rPr>
                <w:sz w:val="20"/>
                <w:szCs w:val="20"/>
                <w:color w:val="auto"/>
              </w:rPr>
            </w:pPr>
            <w:r>
              <w:rPr>
                <w:rFonts w:ascii="Times New Roman" w:cs="Times New Roman" w:eastAsia="Times New Roman" w:hAnsi="Times New Roman"/>
                <w:sz w:val="18"/>
                <w:szCs w:val="18"/>
                <w:color w:val="auto"/>
              </w:rPr>
              <w:t>0</w:t>
            </w:r>
          </w:p>
        </w:tc>
      </w:tr>
      <w:tr>
        <w:trPr>
          <w:trHeight w:val="979"/>
        </w:trPr>
        <w:tc>
          <w:tcPr>
            <w:tcW w:w="28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Three: Approval of the Amendment and Restatement of the Company’s 2022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the Acrivon Therapeutics, Inc. Amended and Restated 2022 Equity Incentive Plan. Votes were cast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4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0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16"/>
        </w:trPr>
        <w:tc>
          <w:tcPr>
            <w:tcW w:w="800" w:type="dxa"/>
            <w:vAlign w:val="bottom"/>
            <w:shd w:val="clear" w:color="auto" w:fill="CAEEFB"/>
          </w:tcPr>
          <w:p>
            <w:pPr>
              <w:spacing w:after="0"/>
              <w:rPr>
                <w:sz w:val="18"/>
                <w:szCs w:val="18"/>
                <w:color w:val="auto"/>
              </w:rPr>
            </w:pPr>
          </w:p>
        </w:tc>
        <w:tc>
          <w:tcPr>
            <w:tcW w:w="2860" w:type="dxa"/>
            <w:vAlign w:val="bottom"/>
            <w:gridSpan w:val="2"/>
            <w:shd w:val="clear" w:color="auto" w:fill="CAEEFB"/>
          </w:tcPr>
          <w:p>
            <w:pPr>
              <w:jc w:val="right"/>
              <w:ind w:right="1750"/>
              <w:spacing w:after="0"/>
              <w:rPr>
                <w:sz w:val="20"/>
                <w:szCs w:val="20"/>
                <w:color w:val="auto"/>
              </w:rPr>
            </w:pPr>
            <w:r>
              <w:rPr>
                <w:rFonts w:ascii="Times New Roman" w:cs="Times New Roman" w:eastAsia="Times New Roman" w:hAnsi="Times New Roman"/>
                <w:sz w:val="18"/>
                <w:szCs w:val="18"/>
                <w:color w:val="auto"/>
              </w:rPr>
              <w:t>20,546,400</w:t>
            </w:r>
          </w:p>
        </w:tc>
        <w:tc>
          <w:tcPr>
            <w:tcW w:w="1060" w:type="dxa"/>
            <w:vAlign w:val="bottom"/>
            <w:shd w:val="clear" w:color="auto" w:fill="CAEEFB"/>
          </w:tcPr>
          <w:p>
            <w:pPr>
              <w:jc w:val="right"/>
              <w:ind w:right="50"/>
              <w:spacing w:after="0"/>
              <w:rPr>
                <w:sz w:val="20"/>
                <w:szCs w:val="20"/>
                <w:color w:val="auto"/>
              </w:rPr>
            </w:pPr>
            <w:r>
              <w:rPr>
                <w:rFonts w:ascii="Times New Roman" w:cs="Times New Roman" w:eastAsia="Times New Roman" w:hAnsi="Times New Roman"/>
                <w:sz w:val="18"/>
                <w:szCs w:val="18"/>
                <w:color w:val="auto"/>
              </w:rPr>
              <w:t>3,757,400</w:t>
            </w:r>
          </w:p>
        </w:tc>
        <w:tc>
          <w:tcPr>
            <w:tcW w:w="20" w:type="dxa"/>
            <w:vAlign w:val="bottom"/>
            <w:shd w:val="clear" w:color="auto" w:fill="CAEEFB"/>
          </w:tcPr>
          <w:p>
            <w:pPr>
              <w:spacing w:after="0"/>
              <w:rPr>
                <w:sz w:val="18"/>
                <w:szCs w:val="18"/>
                <w:color w:val="auto"/>
              </w:rPr>
            </w:pPr>
          </w:p>
        </w:tc>
        <w:tc>
          <w:tcPr>
            <w:tcW w:w="3480" w:type="dxa"/>
            <w:vAlign w:val="bottom"/>
            <w:shd w:val="clear" w:color="auto" w:fill="CAEEFB"/>
          </w:tcPr>
          <w:p>
            <w:pPr>
              <w:ind w:left="1980"/>
              <w:spacing w:after="0"/>
              <w:rPr>
                <w:sz w:val="20"/>
                <w:szCs w:val="20"/>
                <w:color w:val="auto"/>
              </w:rPr>
            </w:pPr>
            <w:r>
              <w:rPr>
                <w:rFonts w:ascii="Times New Roman" w:cs="Times New Roman" w:eastAsia="Times New Roman" w:hAnsi="Times New Roman"/>
                <w:sz w:val="18"/>
                <w:szCs w:val="18"/>
                <w:color w:val="auto"/>
              </w:rPr>
              <w:t>104,757</w:t>
            </w:r>
          </w:p>
        </w:tc>
        <w:tc>
          <w:tcPr>
            <w:tcW w:w="3020" w:type="dxa"/>
            <w:vAlign w:val="bottom"/>
            <w:shd w:val="clear" w:color="auto" w:fill="CAEEFB"/>
          </w:tcPr>
          <w:p>
            <w:pPr>
              <w:jc w:val="right"/>
              <w:ind w:right="970"/>
              <w:spacing w:after="0"/>
              <w:rPr>
                <w:sz w:val="20"/>
                <w:szCs w:val="20"/>
                <w:color w:val="auto"/>
              </w:rPr>
            </w:pPr>
            <w:r>
              <w:rPr>
                <w:rFonts w:ascii="Times New Roman" w:cs="Times New Roman" w:eastAsia="Times New Roman" w:hAnsi="Times New Roman"/>
                <w:sz w:val="18"/>
                <w:szCs w:val="18"/>
                <w:color w:val="auto"/>
              </w:rPr>
              <w:t>6,928,436</w:t>
            </w:r>
          </w:p>
        </w:tc>
        <w:tc>
          <w:tcPr>
            <w:tcW w:w="0" w:type="dxa"/>
            <w:vAlign w:val="bottom"/>
          </w:tcPr>
          <w:p>
            <w:pPr>
              <w:spacing w:after="0"/>
              <w:rPr>
                <w:sz w:val="1"/>
                <w:szCs w:val="1"/>
                <w:color w:val="auto"/>
              </w:rPr>
            </w:pPr>
          </w:p>
        </w:tc>
      </w:tr>
      <w:tr>
        <w:trPr>
          <w:trHeight w:val="540"/>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4"/>
                <w:szCs w:val="14"/>
                <w:color w:val="auto"/>
              </w:rPr>
            </w:pPr>
          </w:p>
        </w:tc>
        <w:tc>
          <w:tcPr>
            <w:tcW w:w="368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and Restated 2022 Equity Incentive Plan</w:t>
            </w:r>
          </w:p>
        </w:tc>
        <w:tc>
          <w:tcPr>
            <w:tcW w:w="20" w:type="dxa"/>
            <w:vAlign w:val="bottom"/>
            <w:tcBorders>
              <w:bottom w:val="single" w:sz="8" w:color="0000EE"/>
            </w:tcBorders>
          </w:tcPr>
          <w:p>
            <w:pPr>
              <w:spacing w:after="0"/>
              <w:rPr>
                <w:sz w:val="14"/>
                <w:szCs w:val="14"/>
                <w:color w:val="auto"/>
              </w:rPr>
            </w:pPr>
          </w:p>
        </w:tc>
        <w:tc>
          <w:tcPr>
            <w:tcW w:w="3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Acrivon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Blume-Jensen,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Peter Blume-Jensen, M.D.,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Exhibit 10.1</w:t>
      </w:r>
    </w:p>
    <w:p>
      <w:pPr>
        <w:spacing w:after="0" w:line="2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ACRIVON THERAPEUTICS, INC.</w:t>
      </w:r>
    </w:p>
    <w:p>
      <w:pPr>
        <w:spacing w:after="0" w:line="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Adopted by the Board of Directors: May 20, 2026</w:t>
      </w:r>
    </w:p>
    <w:p>
      <w:pPr>
        <w:spacing w:after="0" w:line="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Approved by the Stockholders: June 17, 2026</w:t>
      </w:r>
    </w:p>
    <w:p>
      <w:pPr>
        <w:spacing w:after="0" w:line="154" w:lineRule="exact"/>
        <w:rPr>
          <w:sz w:val="20"/>
          <w:szCs w:val="20"/>
          <w:color w:val="auto"/>
        </w:rPr>
      </w:pPr>
    </w:p>
    <w:p>
      <w:pPr>
        <w:ind w:left="940" w:hanging="712"/>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220" w:right="280" w:firstLine="711"/>
        <w:spacing w:after="0" w:line="259" w:lineRule="auto"/>
        <w:tabs>
          <w:tab w:leader="none" w:pos="1435"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 to and Continuation of Prior Plan</w:t>
      </w:r>
      <w:r>
        <w:rPr>
          <w:rFonts w:ascii="Times New Roman" w:cs="Times New Roman" w:eastAsia="Times New Roman" w:hAnsi="Times New Roman"/>
          <w:sz w:val="18"/>
          <w:szCs w:val="18"/>
          <w:color w:val="auto"/>
        </w:rPr>
        <w:t>. The Plan is the successor to and continuation of the Prior Plan.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 no additional awards may be granted under the Prior Plan; (ii) the Prior Plan’s Available Reserve plus any Returning Shares are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65" w:lineRule="exact"/>
        <w:rPr>
          <w:rFonts w:ascii="Times New Roman" w:cs="Times New Roman" w:eastAsia="Times New Roman" w:hAnsi="Times New Roman"/>
          <w:sz w:val="18"/>
          <w:szCs w:val="18"/>
          <w:b w:val="1"/>
          <w:bCs w:val="1"/>
          <w:color w:val="auto"/>
        </w:rPr>
      </w:pPr>
    </w:p>
    <w:p>
      <w:pPr>
        <w:jc w:val="both"/>
        <w:ind w:left="220" w:right="280" w:firstLine="711"/>
        <w:spacing w:after="0" w:line="262" w:lineRule="auto"/>
        <w:tabs>
          <w:tab w:leader="none" w:pos="1435"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6" w:lineRule="exact"/>
        <w:rPr>
          <w:rFonts w:ascii="Times New Roman" w:cs="Times New Roman" w:eastAsia="Times New Roman" w:hAnsi="Times New Roman"/>
          <w:sz w:val="18"/>
          <w:szCs w:val="18"/>
          <w:b w:val="1"/>
          <w:bCs w:val="1"/>
          <w:color w:val="auto"/>
        </w:rPr>
      </w:pPr>
    </w:p>
    <w:p>
      <w:pPr>
        <w:ind w:left="220" w:right="280" w:firstLine="711"/>
        <w:spacing w:after="0" w:line="263" w:lineRule="auto"/>
        <w:tabs>
          <w:tab w:leader="none" w:pos="1435"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SARs; (iv) Restricted Stock Awards; (v) RSU Awards;</w:t>
      </w:r>
    </w:p>
    <w:p>
      <w:pPr>
        <w:ind w:left="540" w:hanging="307"/>
        <w:spacing w:after="0"/>
        <w:tabs>
          <w:tab w:leader="none" w:pos="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and (vii) Other Awards.</w:t>
      </w:r>
    </w:p>
    <w:p>
      <w:pPr>
        <w:spacing w:after="0" w:line="202" w:lineRule="exact"/>
        <w:rPr>
          <w:rFonts w:ascii="Times New Roman" w:cs="Times New Roman" w:eastAsia="Times New Roman" w:hAnsi="Times New Roman"/>
          <w:sz w:val="18"/>
          <w:szCs w:val="18"/>
          <w:color w:val="auto"/>
        </w:rPr>
      </w:pPr>
    </w:p>
    <w:p>
      <w:pPr>
        <w:ind w:left="220" w:right="260" w:firstLine="711"/>
        <w:spacing w:after="0" w:line="286" w:lineRule="auto"/>
        <w:tabs>
          <w:tab w:leader="none" w:pos="1435"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w:t>
      </w:r>
    </w:p>
    <w:p>
      <w:pPr>
        <w:spacing w:after="0" w:line="141" w:lineRule="exact"/>
        <w:rPr>
          <w:sz w:val="20"/>
          <w:szCs w:val="20"/>
          <w:color w:val="auto"/>
        </w:rPr>
      </w:pPr>
    </w:p>
    <w:p>
      <w:pPr>
        <w:ind w:left="940" w:hanging="698"/>
        <w:spacing w:after="0"/>
        <w:tabs>
          <w:tab w:leader="none" w:pos="9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11" w:lineRule="exact"/>
        <w:rPr>
          <w:rFonts w:ascii="Times New Roman" w:cs="Times New Roman" w:eastAsia="Times New Roman" w:hAnsi="Times New Roman"/>
          <w:sz w:val="18"/>
          <w:szCs w:val="18"/>
          <w:b w:val="1"/>
          <w:bCs w:val="1"/>
          <w:color w:val="auto"/>
        </w:rPr>
      </w:pPr>
    </w:p>
    <w:p>
      <w:pPr>
        <w:jc w:val="both"/>
        <w:ind w:left="220" w:right="260" w:firstLine="711"/>
        <w:spacing w:after="0" w:line="254" w:lineRule="auto"/>
        <w:tabs>
          <w:tab w:leader="none" w:pos="1435"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Adjustments, the aggregate number of shares of Common Stock that may be issued pursuant to Awards will not exceed 8,606,723 shares, which is the sum of: (i) 2,555,271 shares, plus (ii) the Prior Plan’s Available Reserve, plus (iii) up to 2,148,679 Returning Shares, as such shares become available from time to time, plus (iv) 3,000,000 shares approved by the Company’s stockholders at the Company’s 2026 Annual Meeting of Stockholders.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five percent (5%) of the total number of shares of Fully Diluted Stock outstanding on December 31 of the preceding year; provided, however, that the Board may act prior to January 1st of a given year to provide that the increase for such year will be a lesser number of shares of Common Stock.</w:t>
      </w:r>
    </w:p>
    <w:p>
      <w:pPr>
        <w:spacing w:after="0" w:line="161" w:lineRule="exact"/>
        <w:rPr>
          <w:rFonts w:ascii="Times New Roman" w:cs="Times New Roman" w:eastAsia="Times New Roman" w:hAnsi="Times New Roman"/>
          <w:sz w:val="18"/>
          <w:szCs w:val="18"/>
          <w:b w:val="1"/>
          <w:bCs w:val="1"/>
          <w:color w:val="auto"/>
        </w:rPr>
      </w:pPr>
    </w:p>
    <w:p>
      <w:pPr>
        <w:jc w:val="both"/>
        <w:ind w:left="220" w:right="180" w:firstLine="711"/>
        <w:spacing w:after="0" w:line="268" w:lineRule="auto"/>
        <w:tabs>
          <w:tab w:leader="none" w:pos="144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necessary to implement any Capitalization Adjustments, the aggregate maximum number of shares of Common Stock that may be issued pursuant to the exercise of Incentive Stock Options is 16,820,169.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5" w:name="page6"/>
    <w:bookmarkEnd w:id="5"/>
    <w:p>
      <w:pPr>
        <w:spacing w:after="0" w:line="311" w:lineRule="exact"/>
        <w:rPr>
          <w:sz w:val="20"/>
          <w:szCs w:val="20"/>
          <w:color w:val="auto"/>
        </w:rPr>
      </w:pPr>
    </w:p>
    <w:p>
      <w:pPr>
        <w:ind w:left="1660" w:hanging="714"/>
        <w:spacing w:after="0"/>
        <w:tabs>
          <w:tab w:leader="none" w:pos="1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jc w:val="both"/>
        <w:ind w:left="320" w:firstLine="1404"/>
        <w:spacing w:after="0" w:line="257" w:lineRule="auto"/>
        <w:tabs>
          <w:tab w:leader="none" w:pos="1961"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55" w:lineRule="exact"/>
        <w:rPr>
          <w:sz w:val="20"/>
          <w:szCs w:val="20"/>
          <w:color w:val="auto"/>
        </w:rPr>
      </w:pPr>
    </w:p>
    <w:p>
      <w:pPr>
        <w:jc w:val="both"/>
        <w:ind w:left="320" w:firstLine="1408"/>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(ii)Actions that Do Not Constitute Issuance of Common Stock and Do Not Reduce Share Reserve. </w:t>
      </w:r>
      <w:r>
        <w:rPr>
          <w:rFonts w:ascii="Times New Roman" w:cs="Times New Roman" w:eastAsia="Times New Roman" w:hAnsi="Times New Roman"/>
          <w:sz w:val="17"/>
          <w:szCs w:val="17"/>
          <w:color w:val="auto"/>
        </w:rPr>
        <w:t>The following 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55" w:lineRule="exact"/>
        <w:rPr>
          <w:sz w:val="20"/>
          <w:szCs w:val="20"/>
          <w:color w:val="auto"/>
        </w:rPr>
      </w:pPr>
    </w:p>
    <w:p>
      <w:pPr>
        <w:jc w:val="both"/>
        <w:ind w:left="320" w:firstLine="140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(iii)Reversion of Previously Issued Shares of Common Stock to Share Reserve. </w:t>
      </w:r>
      <w:r>
        <w:rPr>
          <w:rFonts w:ascii="Times New Roman" w:cs="Times New Roman" w:eastAsia="Times New Roman" w:hAnsi="Times New Roman"/>
          <w:sz w:val="18"/>
          <w:szCs w:val="18"/>
          <w:color w:val="auto"/>
        </w:rPr>
        <w:t>The following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55" w:lineRule="exact"/>
        <w:rPr>
          <w:sz w:val="20"/>
          <w:szCs w:val="20"/>
          <w:color w:val="auto"/>
        </w:rPr>
      </w:pPr>
    </w:p>
    <w:p>
      <w:pPr>
        <w:ind w:left="940" w:hanging="712"/>
        <w:spacing w:after="0"/>
        <w:tabs>
          <w:tab w:leader="none" w:pos="9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211"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w:t>
      </w:r>
    </w:p>
    <w:p>
      <w:pPr>
        <w:spacing w:after="0" w:line="31" w:lineRule="exact"/>
        <w:rPr>
          <w:rFonts w:ascii="Times New Roman" w:cs="Times New Roman" w:eastAsia="Times New Roman" w:hAnsi="Times New Roman"/>
          <w:sz w:val="18"/>
          <w:szCs w:val="18"/>
          <w:b w:val="1"/>
          <w:bCs w:val="1"/>
          <w:color w:val="auto"/>
        </w:rPr>
      </w:pPr>
    </w:p>
    <w:p>
      <w:pPr>
        <w:ind w:left="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w:t>
      </w:r>
    </w:p>
    <w:p>
      <w:pPr>
        <w:spacing w:after="0" w:line="189" w:lineRule="exact"/>
        <w:rPr>
          <w:rFonts w:ascii="Times New Roman" w:cs="Times New Roman" w:eastAsia="Times New Roman" w:hAnsi="Times New Roman"/>
          <w:sz w:val="18"/>
          <w:szCs w:val="18"/>
          <w:b w:val="1"/>
          <w:bCs w:val="1"/>
          <w:color w:val="auto"/>
        </w:rPr>
      </w:pPr>
    </w:p>
    <w:p>
      <w:pPr>
        <w:ind w:left="1640" w:hanging="709"/>
        <w:spacing w:after="0"/>
        <w:tabs>
          <w:tab w:leader="none" w:pos="16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left="320" w:right="20" w:firstLine="1405"/>
        <w:spacing w:after="0" w:line="286" w:lineRule="auto"/>
        <w:tabs>
          <w:tab w:leader="none" w:pos="1961" w:val="left"/>
        </w:tabs>
        <w:numPr>
          <w:ilvl w:val="2"/>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“parent corporation” or “subsidiary corporation” thereof (as such terms are defined in Sections 424(e) and (f) of the Code).</w:t>
      </w:r>
    </w:p>
    <w:p>
      <w:pPr>
        <w:spacing w:after="0" w:line="141" w:lineRule="exact"/>
        <w:rPr>
          <w:sz w:val="20"/>
          <w:szCs w:val="20"/>
          <w:color w:val="auto"/>
        </w:rPr>
      </w:pPr>
    </w:p>
    <w:p>
      <w:pPr>
        <w:jc w:val="both"/>
        <w:ind w:left="320" w:firstLine="140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(ii)Incentive Stock Option $100,000 Limitation. </w:t>
      </w:r>
      <w:r>
        <w:rPr>
          <w:rFonts w:ascii="Times New Roman" w:cs="Times New Roman" w:eastAsia="Times New Roman" w:hAnsi="Times New Roman"/>
          <w:sz w:val="18"/>
          <w:szCs w:val="18"/>
          <w:color w:val="auto"/>
        </w:rPr>
        <w:t>To the extent that the aggregate Fair Market Value (determined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 of the shares of Common Stock with respect to which Incentive Stock Options are exercisable for the first time by any Optionholder during any calendar year (under all plans of the Company and any “parent corporation” or “subsidiary corporation” thereof, as such terms are defined in Sections 424(e) and (f) of the Code)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6" w:name="page7"/>
    <w:bookmarkEnd w:id="6"/>
    <w:p>
      <w:pPr>
        <w:spacing w:after="0" w:line="325" w:lineRule="exact"/>
        <w:rPr>
          <w:sz w:val="20"/>
          <w:szCs w:val="20"/>
          <w:color w:val="auto"/>
        </w:rPr>
      </w:pPr>
    </w:p>
    <w:p>
      <w:pPr>
        <w:jc w:val="both"/>
        <w:ind w:left="320" w:firstLine="140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(iii)Limitations on Incentive Stock Options Granted to Ten Percent Stockholders. </w:t>
      </w:r>
      <w:r>
        <w:rPr>
          <w:rFonts w:ascii="Times New Roman" w:cs="Times New Roman" w:eastAsia="Times New Roman" w:hAnsi="Times New Roman"/>
          <w:sz w:val="18"/>
          <w:szCs w:val="18"/>
          <w:color w:val="auto"/>
        </w:rPr>
        <w:t>A Ten Percent Stockholder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157" w:lineRule="exact"/>
        <w:rPr>
          <w:sz w:val="20"/>
          <w:szCs w:val="20"/>
          <w:color w:val="auto"/>
        </w:rPr>
      </w:pPr>
    </w:p>
    <w:p>
      <w:pPr>
        <w:jc w:val="both"/>
        <w:ind w:left="320" w:right="20" w:firstLine="140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(iv)Limitations on Nonstatutory Stock Options and SARs. </w:t>
      </w:r>
      <w:r>
        <w:rPr>
          <w:rFonts w:ascii="Times New Roman" w:cs="Times New Roman" w:eastAsia="Times New Roman" w:hAnsi="Times New Roman"/>
          <w:sz w:val="18"/>
          <w:szCs w:val="18"/>
          <w:color w:val="auto"/>
        </w:rPr>
        <w:t>Nonstatutory Stock Options and SARs may not be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unless the stock underlying such Awards is treated as “service recipient stock” under Section 409A or unless such Awards otherwise comply with the requirements of Section 409A.</w:t>
      </w:r>
    </w:p>
    <w:p>
      <w:pPr>
        <w:spacing w:after="0" w:line="144" w:lineRule="exact"/>
        <w:rPr>
          <w:sz w:val="20"/>
          <w:szCs w:val="20"/>
          <w:color w:val="auto"/>
        </w:rPr>
      </w:pPr>
    </w:p>
    <w:p>
      <w:pPr>
        <w:ind w:left="220" w:right="20" w:firstLine="711"/>
        <w:spacing w:after="0" w:line="286" w:lineRule="auto"/>
        <w:tabs>
          <w:tab w:leader="none" w:pos="143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exercise of Incentive Stock Options is the number of shares specified in Section 2(b).</w:t>
      </w:r>
    </w:p>
    <w:p>
      <w:pPr>
        <w:spacing w:after="0" w:line="141" w:lineRule="exact"/>
        <w:rPr>
          <w:rFonts w:ascii="Times New Roman" w:cs="Times New Roman" w:eastAsia="Times New Roman" w:hAnsi="Times New Roman"/>
          <w:sz w:val="18"/>
          <w:szCs w:val="18"/>
          <w:b w:val="1"/>
          <w:bCs w:val="1"/>
          <w:color w:val="auto"/>
        </w:rPr>
      </w:pPr>
    </w:p>
    <w:p>
      <w:pPr>
        <w:jc w:val="both"/>
        <w:ind w:left="220" w:firstLine="711"/>
        <w:spacing w:after="0" w:line="259" w:lineRule="auto"/>
        <w:tabs>
          <w:tab w:leader="none" w:pos="143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following the IPO Date, to any individual for service as a Non-Employee Director with respect to any calendar year, including Awards granted and cash fees paid by the Company to such Non-Employee Director, for his or her service as a Non-Employee Director, will not exceed $750,000 in total value, calculating the value of any equity awards based on the grant date fair value of such equity awards for financial reporting purposes. The limitation in this Section 3(d) shall apply commencing with the first calendar year that begins following the Effective Date.</w:t>
      </w:r>
    </w:p>
    <w:p>
      <w:pPr>
        <w:spacing w:after="0" w:line="166" w:lineRule="exact"/>
        <w:rPr>
          <w:sz w:val="20"/>
          <w:szCs w:val="20"/>
          <w:color w:val="auto"/>
        </w:rPr>
      </w:pPr>
    </w:p>
    <w:p>
      <w:pPr>
        <w:ind w:left="940" w:hanging="712"/>
        <w:spacing w:after="0"/>
        <w:tabs>
          <w:tab w:leader="none" w:pos="9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ind w:left="240" w:firstLine="704"/>
        <w:spacing w:after="0" w:line="255"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1" w:lineRule="exact"/>
        <w:rPr>
          <w:sz w:val="20"/>
          <w:szCs w:val="20"/>
          <w:color w:val="auto"/>
        </w:rPr>
      </w:pPr>
    </w:p>
    <w:p>
      <w:pPr>
        <w:ind w:left="220" w:firstLine="711"/>
        <w:spacing w:after="0" w:line="286" w:lineRule="auto"/>
        <w:tabs>
          <w:tab w:leader="none" w:pos="14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years from the date of grant of such Award or such shorter period specified in the Award Agreement.</w:t>
      </w:r>
    </w:p>
    <w:p>
      <w:pPr>
        <w:spacing w:after="0" w:line="141" w:lineRule="exact"/>
        <w:rPr>
          <w:rFonts w:ascii="Times New Roman" w:cs="Times New Roman" w:eastAsia="Times New Roman" w:hAnsi="Times New Roman"/>
          <w:sz w:val="18"/>
          <w:szCs w:val="18"/>
          <w:b w:val="1"/>
          <w:bCs w:val="1"/>
          <w:color w:val="auto"/>
        </w:rPr>
      </w:pPr>
    </w:p>
    <w:p>
      <w:pPr>
        <w:jc w:val="both"/>
        <w:ind w:left="220" w:firstLine="711"/>
        <w:spacing w:after="0" w:line="259" w:lineRule="auto"/>
        <w:tabs>
          <w:tab w:leader="none" w:pos="14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52" w:lineRule="exact"/>
        <w:rPr>
          <w:rFonts w:ascii="Times New Roman" w:cs="Times New Roman" w:eastAsia="Times New Roman" w:hAnsi="Times New Roman"/>
          <w:sz w:val="18"/>
          <w:szCs w:val="18"/>
          <w:b w:val="1"/>
          <w:bCs w:val="1"/>
          <w:color w:val="auto"/>
        </w:rPr>
      </w:pPr>
    </w:p>
    <w:p>
      <w:pPr>
        <w:jc w:val="both"/>
        <w:ind w:left="220" w:firstLine="711"/>
        <w:spacing w:after="0" w:line="262" w:lineRule="auto"/>
        <w:tabs>
          <w:tab w:leader="none" w:pos="14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7" w:name="page8"/>
    <w:bookmarkEnd w:id="7"/>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particular method of payment. The exercise price of an Option may be paid, to the extent permitted by Applicable Law and as determined by the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Board, by one or more of the following methods of payment to the extent set forth in the Option Agreement:</w:t>
      </w:r>
    </w:p>
    <w:p>
      <w:pPr>
        <w:spacing w:after="0" w:line="193" w:lineRule="exact"/>
        <w:rPr>
          <w:sz w:val="20"/>
          <w:szCs w:val="20"/>
          <w:color w:val="auto"/>
        </w:rPr>
      </w:pPr>
    </w:p>
    <w:p>
      <w:pPr>
        <w:ind w:left="2420" w:hanging="695"/>
        <w:spacing w:after="0"/>
        <w:tabs>
          <w:tab w:leader="none" w:pos="2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jc w:val="both"/>
        <w:ind w:left="320" w:firstLine="1404"/>
        <w:spacing w:after="0" w:line="266" w:lineRule="auto"/>
        <w:tabs>
          <w:tab w:leader="none" w:pos="196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45" w:lineRule="exact"/>
        <w:rPr>
          <w:sz w:val="20"/>
          <w:szCs w:val="20"/>
          <w:color w:val="auto"/>
        </w:rPr>
      </w:pPr>
    </w:p>
    <w:p>
      <w:pPr>
        <w:jc w:val="both"/>
        <w:ind w:left="320" w:firstLine="1408"/>
        <w:spacing w:after="0" w:line="256"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by delivery to the Company (either by actual delivery or attestation) of shares of Common Stock that are already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69" w:lineRule="exact"/>
        <w:rPr>
          <w:sz w:val="20"/>
          <w:szCs w:val="20"/>
          <w:color w:val="auto"/>
        </w:rPr>
      </w:pPr>
    </w:p>
    <w:p>
      <w:pPr>
        <w:jc w:val="both"/>
        <w:ind w:left="320" w:firstLine="1408"/>
        <w:spacing w:after="0" w:line="259"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if the Option is a Nonstatutory Stock Option, by a “net exercise” arrangement pursuant to which the Company will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w:t>
      </w:r>
    </w:p>
    <w:p>
      <w:pPr>
        <w:ind w:left="320" w:hanging="3"/>
        <w:spacing w:after="0" w:line="260" w:lineRule="auto"/>
        <w:tabs>
          <w:tab w:leader="none" w:pos="5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balance of the exercise price not satisfied by such net exercise is paid by the Participant in cash or other permitted form of payment; or</w:t>
      </w:r>
    </w:p>
    <w:p>
      <w:pPr>
        <w:spacing w:after="0" w:line="154" w:lineRule="exact"/>
        <w:rPr>
          <w:rFonts w:ascii="Times New Roman" w:cs="Times New Roman" w:eastAsia="Times New Roman" w:hAnsi="Times New Roman"/>
          <w:sz w:val="18"/>
          <w:szCs w:val="18"/>
          <w:color w:val="auto"/>
        </w:rPr>
      </w:pPr>
    </w:p>
    <w:p>
      <w:pPr>
        <w:ind w:left="1960" w:hanging="236"/>
        <w:spacing w:after="0"/>
        <w:tabs>
          <w:tab w:leader="none" w:pos="1960" w:val="left"/>
        </w:tabs>
        <w:numPr>
          <w:ilvl w:val="3"/>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07" w:lineRule="exact"/>
        <w:rPr>
          <w:rFonts w:ascii="Times New Roman" w:cs="Times New Roman" w:eastAsia="Times New Roman" w:hAnsi="Times New Roman"/>
          <w:sz w:val="18"/>
          <w:szCs w:val="18"/>
          <w:b w:val="1"/>
          <w:bCs w:val="1"/>
          <w:color w:val="auto"/>
        </w:rPr>
      </w:pPr>
    </w:p>
    <w:p>
      <w:pPr>
        <w:jc w:val="both"/>
        <w:ind w:left="220" w:firstLine="711"/>
        <w:spacing w:after="0" w:line="256" w:lineRule="auto"/>
        <w:tabs>
          <w:tab w:leader="none" w:pos="1435"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w:t>
      </w:r>
    </w:p>
    <w:p>
      <w:pPr>
        <w:spacing w:after="0" w:line="3" w:lineRule="exact"/>
        <w:rPr>
          <w:rFonts w:ascii="Times New Roman" w:cs="Times New Roman" w:eastAsia="Times New Roman" w:hAnsi="Times New Roman"/>
          <w:sz w:val="18"/>
          <w:szCs w:val="18"/>
          <w:b w:val="1"/>
          <w:bCs w:val="1"/>
          <w:color w:val="auto"/>
        </w:rPr>
      </w:pPr>
    </w:p>
    <w:p>
      <w:pPr>
        <w:ind w:left="220" w:firstLine="8"/>
        <w:spacing w:after="0" w:line="260" w:lineRule="auto"/>
        <w:tabs>
          <w:tab w:leader="none" w:pos="5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50" w:lineRule="exact"/>
        <w:rPr>
          <w:rFonts w:ascii="Times New Roman" w:cs="Times New Roman" w:eastAsia="Times New Roman" w:hAnsi="Times New Roman"/>
          <w:sz w:val="18"/>
          <w:szCs w:val="18"/>
          <w:color w:val="auto"/>
        </w:rPr>
      </w:pPr>
    </w:p>
    <w:p>
      <w:pPr>
        <w:jc w:val="both"/>
        <w:ind w:left="220" w:firstLine="711"/>
        <w:spacing w:after="0" w:line="259" w:lineRule="auto"/>
        <w:tabs>
          <w:tab w:leader="none" w:pos="1435"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65" w:lineRule="exact"/>
        <w:rPr>
          <w:rFonts w:ascii="Times New Roman" w:cs="Times New Roman" w:eastAsia="Times New Roman" w:hAnsi="Times New Roman"/>
          <w:sz w:val="18"/>
          <w:szCs w:val="18"/>
          <w:b w:val="1"/>
          <w:bCs w:val="1"/>
          <w:color w:val="auto"/>
        </w:rPr>
      </w:pPr>
    </w:p>
    <w:p>
      <w:pPr>
        <w:jc w:val="both"/>
        <w:ind w:left="320" w:firstLine="1405"/>
        <w:spacing w:after="0" w:line="262" w:lineRule="auto"/>
        <w:tabs>
          <w:tab w:leader="none" w:pos="1961" w:val="left"/>
        </w:tabs>
        <w:numPr>
          <w:ilvl w:val="3"/>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8" w:name="page9"/>
    <w:bookmarkEnd w:id="8"/>
    <w:p>
      <w:pPr>
        <w:spacing w:after="0" w:line="200" w:lineRule="exact"/>
        <w:rPr>
          <w:sz w:val="20"/>
          <w:szCs w:val="20"/>
          <w:color w:val="auto"/>
        </w:rPr>
      </w:pPr>
    </w:p>
    <w:p>
      <w:pPr>
        <w:spacing w:after="0" w:line="250"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45" w:lineRule="exact"/>
        <w:rPr>
          <w:sz w:val="20"/>
          <w:szCs w:val="20"/>
          <w:color w:val="auto"/>
        </w:rPr>
      </w:pPr>
    </w:p>
    <w:p>
      <w:pPr>
        <w:jc w:val="both"/>
        <w:ind w:left="320" w:firstLine="140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(ii)Domestic Relations Orders. </w:t>
      </w:r>
      <w:r>
        <w:rPr>
          <w:rFonts w:ascii="Times New Roman" w:cs="Times New Roman" w:eastAsia="Times New Roman" w:hAnsi="Times New Roman"/>
          <w:sz w:val="18"/>
          <w:szCs w:val="18"/>
          <w:color w:val="auto"/>
        </w:rPr>
        <w:t>Notwithstanding the foregoing, subject to the execution of transfer documentation in a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Company and subject to the approval of the Board or a duly authorized Officer, an Option or SAR may be transferred pursuant to a domestic relations order.</w:t>
      </w:r>
    </w:p>
    <w:p>
      <w:pPr>
        <w:spacing w:after="0" w:line="157" w:lineRule="exact"/>
        <w:rPr>
          <w:sz w:val="20"/>
          <w:szCs w:val="20"/>
          <w:color w:val="auto"/>
        </w:rPr>
      </w:pPr>
    </w:p>
    <w:p>
      <w:pPr>
        <w:jc w:val="both"/>
        <w:ind w:left="220" w:firstLine="711"/>
        <w:spacing w:after="0" w:line="268" w:lineRule="auto"/>
        <w:tabs>
          <w:tab w:leader="none" w:pos="14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57" w:lineRule="exact"/>
        <w:rPr>
          <w:rFonts w:ascii="Times New Roman" w:cs="Times New Roman" w:eastAsia="Times New Roman" w:hAnsi="Times New Roman"/>
          <w:sz w:val="18"/>
          <w:szCs w:val="18"/>
          <w:b w:val="1"/>
          <w:bCs w:val="1"/>
          <w:color w:val="auto"/>
        </w:rPr>
      </w:pPr>
    </w:p>
    <w:p>
      <w:pPr>
        <w:jc w:val="both"/>
        <w:ind w:left="220" w:firstLine="711"/>
        <w:spacing w:after="0" w:line="257" w:lineRule="auto"/>
        <w:tabs>
          <w:tab w:leader="none" w:pos="14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55" w:lineRule="exact"/>
        <w:rPr>
          <w:rFonts w:ascii="Times New Roman" w:cs="Times New Roman" w:eastAsia="Times New Roman" w:hAnsi="Times New Roman"/>
          <w:sz w:val="18"/>
          <w:szCs w:val="18"/>
          <w:b w:val="1"/>
          <w:bCs w:val="1"/>
          <w:color w:val="auto"/>
        </w:rPr>
      </w:pPr>
    </w:p>
    <w:p>
      <w:pPr>
        <w:jc w:val="both"/>
        <w:ind w:left="220" w:firstLine="711"/>
        <w:spacing w:after="0" w:line="259" w:lineRule="auto"/>
        <w:tabs>
          <w:tab w:leader="none" w:pos="14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69" w:lineRule="exact"/>
        <w:rPr>
          <w:rFonts w:ascii="Times New Roman" w:cs="Times New Roman" w:eastAsia="Times New Roman" w:hAnsi="Times New Roman"/>
          <w:sz w:val="18"/>
          <w:szCs w:val="18"/>
          <w:b w:val="1"/>
          <w:bCs w:val="1"/>
          <w:color w:val="auto"/>
        </w:rPr>
      </w:pPr>
    </w:p>
    <w:p>
      <w:pPr>
        <w:ind w:left="320" w:right="20" w:firstLine="1405"/>
        <w:spacing w:after="0" w:line="282" w:lineRule="auto"/>
        <w:tabs>
          <w:tab w:leader="none" w:pos="1961"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34" w:lineRule="exact"/>
        <w:rPr>
          <w:rFonts w:ascii="Times New Roman" w:cs="Times New Roman" w:eastAsia="Times New Roman" w:hAnsi="Times New Roman"/>
          <w:sz w:val="18"/>
          <w:szCs w:val="18"/>
          <w:b w:val="1"/>
          <w:bCs w:val="1"/>
          <w:color w:val="auto"/>
        </w:rPr>
      </w:pPr>
    </w:p>
    <w:p>
      <w:pPr>
        <w:ind w:left="1960" w:hanging="235"/>
        <w:spacing w:after="0"/>
        <w:tabs>
          <w:tab w:leader="none" w:pos="19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0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12" w:lineRule="exact"/>
        <w:rPr>
          <w:sz w:val="20"/>
          <w:szCs w:val="20"/>
          <w:color w:val="auto"/>
        </w:rPr>
      </w:pPr>
    </w:p>
    <w:p>
      <w:pPr>
        <w:ind w:left="320" w:right="20" w:firstLine="1408"/>
        <w:spacing w:after="0" w:line="286"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18 months following the date of the Participant’s death if such death occurs following the date of such termination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such Award is otherwise exercisable (as provided in (i) or (ii) above).</w:t>
      </w:r>
    </w:p>
    <w:p>
      <w:pPr>
        <w:spacing w:after="0" w:line="145"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41" w:lineRule="exact"/>
        <w:rPr>
          <w:sz w:val="20"/>
          <w:szCs w:val="20"/>
          <w:color w:val="auto"/>
        </w:rPr>
      </w:pPr>
    </w:p>
    <w:p>
      <w:pPr>
        <w:jc w:val="both"/>
        <w:ind w:left="220" w:firstLine="711"/>
        <w:spacing w:after="0" w:line="268" w:lineRule="auto"/>
        <w:tabs>
          <w:tab w:leader="none" w:pos="143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of Common Stock upon such exercise would violate Applicable Law. Except as otherwise provided in the Award Agreement or other written agreement between 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9" w:name="page10"/>
    <w:bookmarkEnd w:id="9"/>
    <w:p>
      <w:pPr>
        <w:spacing w:after="0" w:line="329" w:lineRule="exact"/>
        <w:rPr>
          <w:sz w:val="20"/>
          <w:szCs w:val="20"/>
          <w:color w:val="auto"/>
        </w:rPr>
      </w:pPr>
    </w:p>
    <w:p>
      <w:pPr>
        <w:jc w:val="both"/>
        <w:ind w:left="220"/>
        <w:spacing w:after="0" w:line="254" w:lineRule="auto"/>
        <w:rPr>
          <w:sz w:val="20"/>
          <w:szCs w:val="20"/>
          <w:color w:val="auto"/>
        </w:rPr>
      </w:pPr>
      <w:r>
        <w:rPr>
          <w:rFonts w:ascii="Times New Roman" w:cs="Times New Roman" w:eastAsia="Times New Roman" w:hAnsi="Times New Roman"/>
          <w:sz w:val="18"/>
          <w:szCs w:val="18"/>
          <w:color w:val="auto"/>
        </w:rPr>
        <w:t>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61" w:lineRule="exact"/>
        <w:rPr>
          <w:sz w:val="20"/>
          <w:szCs w:val="20"/>
          <w:color w:val="auto"/>
        </w:rPr>
      </w:pPr>
    </w:p>
    <w:p>
      <w:pPr>
        <w:jc w:val="both"/>
        <w:ind w:left="220" w:firstLine="711"/>
        <w:spacing w:after="0" w:line="255" w:lineRule="auto"/>
        <w:tabs>
          <w:tab w:leader="none" w:pos="1435"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w:t>
      </w:r>
    </w:p>
    <w:p>
      <w:pPr>
        <w:spacing w:after="0" w:line="2" w:lineRule="exact"/>
        <w:rPr>
          <w:rFonts w:ascii="Times New Roman" w:cs="Times New Roman" w:eastAsia="Times New Roman" w:hAnsi="Times New Roman"/>
          <w:sz w:val="18"/>
          <w:szCs w:val="18"/>
          <w:b w:val="1"/>
          <w:bCs w:val="1"/>
          <w:color w:val="auto"/>
        </w:rPr>
      </w:pPr>
    </w:p>
    <w:p>
      <w:pPr>
        <w:jc w:val="both"/>
        <w:ind w:left="240" w:hanging="7"/>
        <w:spacing w:after="0" w:line="253" w:lineRule="auto"/>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69" w:lineRule="exact"/>
        <w:rPr>
          <w:rFonts w:ascii="Times New Roman" w:cs="Times New Roman" w:eastAsia="Times New Roman" w:hAnsi="Times New Roman"/>
          <w:sz w:val="18"/>
          <w:szCs w:val="18"/>
          <w:color w:val="auto"/>
        </w:rPr>
      </w:pPr>
    </w:p>
    <w:p>
      <w:pPr>
        <w:ind w:left="1440" w:hanging="509"/>
        <w:spacing w:after="0"/>
        <w:tabs>
          <w:tab w:leader="none" w:pos="144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11" w:lineRule="exact"/>
        <w:rPr>
          <w:rFonts w:ascii="Times New Roman" w:cs="Times New Roman" w:eastAsia="Times New Roman" w:hAnsi="Times New Roman"/>
          <w:sz w:val="18"/>
          <w:szCs w:val="18"/>
          <w:b w:val="1"/>
          <w:bCs w:val="1"/>
          <w:color w:val="auto"/>
        </w:rPr>
      </w:pPr>
    </w:p>
    <w:p>
      <w:pPr>
        <w:ind w:left="820" w:hanging="592"/>
        <w:spacing w:after="0"/>
        <w:tabs>
          <w:tab w:leader="none" w:pos="8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11" w:lineRule="exact"/>
        <w:rPr>
          <w:rFonts w:ascii="Times New Roman" w:cs="Times New Roman" w:eastAsia="Times New Roman" w:hAnsi="Times New Roman"/>
          <w:sz w:val="18"/>
          <w:szCs w:val="18"/>
          <w:b w:val="1"/>
          <w:bCs w:val="1"/>
          <w:color w:val="auto"/>
        </w:rPr>
      </w:pPr>
    </w:p>
    <w:p>
      <w:pPr>
        <w:jc w:val="both"/>
        <w:ind w:left="220" w:firstLine="711"/>
        <w:spacing w:after="0" w:line="268" w:lineRule="auto"/>
        <w:tabs>
          <w:tab w:leader="none" w:pos="1435"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43" w:lineRule="exact"/>
        <w:rPr>
          <w:rFonts w:ascii="Times New Roman" w:cs="Times New Roman" w:eastAsia="Times New Roman" w:hAnsi="Times New Roman"/>
          <w:sz w:val="18"/>
          <w:szCs w:val="18"/>
          <w:b w:val="1"/>
          <w:bCs w:val="1"/>
          <w:color w:val="auto"/>
        </w:rPr>
      </w:pPr>
    </w:p>
    <w:p>
      <w:pPr>
        <w:ind w:left="2420" w:hanging="695"/>
        <w:spacing w:after="0"/>
        <w:tabs>
          <w:tab w:leader="none" w:pos="2420" w:val="left"/>
        </w:tabs>
        <w:numPr>
          <w:ilvl w:val="3"/>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5" w:lineRule="exact"/>
        <w:rPr>
          <w:sz w:val="20"/>
          <w:szCs w:val="20"/>
          <w:color w:val="auto"/>
        </w:rPr>
      </w:pPr>
    </w:p>
    <w:p>
      <w:pPr>
        <w:jc w:val="both"/>
        <w:ind w:left="220" w:firstLine="2111"/>
        <w:spacing w:after="0" w:line="259"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Restricted Stock Awards: To the extent consistent with the Company’s Bylaws, at the Board’s election,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79" w:lineRule="exact"/>
        <w:rPr>
          <w:sz w:val="20"/>
          <w:szCs w:val="20"/>
          <w:color w:val="auto"/>
        </w:rPr>
      </w:pPr>
    </w:p>
    <w:p>
      <w:pPr>
        <w:jc w:val="both"/>
        <w:ind w:left="220" w:firstLine="2111"/>
        <w:spacing w:after="0" w:line="257"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RSU Awards: An RSU Award represents a Participant’s right to be issued on a future date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0" w:name="page11"/>
    <w:bookmarkEnd w:id="10"/>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 of the Company with respect to any RSU Award (unless and until shares are actually issued in settlement of a vested RSU Award).</w:t>
      </w:r>
    </w:p>
    <w:p>
      <w:pPr>
        <w:spacing w:after="0" w:line="208" w:lineRule="exact"/>
        <w:rPr>
          <w:sz w:val="20"/>
          <w:szCs w:val="20"/>
          <w:color w:val="auto"/>
        </w:rPr>
      </w:pPr>
    </w:p>
    <w:p>
      <w:pPr>
        <w:ind w:left="2420" w:hanging="695"/>
        <w:spacing w:after="0"/>
        <w:tabs>
          <w:tab w:leader="none" w:pos="2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5" w:lineRule="exact"/>
        <w:rPr>
          <w:sz w:val="20"/>
          <w:szCs w:val="20"/>
          <w:color w:val="auto"/>
        </w:rPr>
      </w:pPr>
    </w:p>
    <w:p>
      <w:pPr>
        <w:jc w:val="both"/>
        <w:ind w:left="220" w:firstLine="2111"/>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Restricted Stock Awards: A Restricted Stock Award may be granted in consideration for (A) cash or check,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draft or money order payable to the Company, (B) services to the Company or an Affiliate, or (C) any other form of consideration as the Board may determine and permissible under Applicable Law.</w:t>
      </w:r>
    </w:p>
    <w:p>
      <w:pPr>
        <w:spacing w:after="0" w:line="157" w:lineRule="exact"/>
        <w:rPr>
          <w:sz w:val="20"/>
          <w:szCs w:val="20"/>
          <w:color w:val="auto"/>
        </w:rPr>
      </w:pPr>
    </w:p>
    <w:p>
      <w:pPr>
        <w:jc w:val="both"/>
        <w:ind w:left="220" w:firstLine="2111"/>
        <w:spacing w:after="0" w:line="257"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RSU Awards: Unless otherwise determined by the Board at the time of grant, an RSU Award will be granted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2" w:lineRule="exact"/>
        <w:rPr>
          <w:sz w:val="20"/>
          <w:szCs w:val="20"/>
          <w:color w:val="auto"/>
        </w:rPr>
      </w:pPr>
    </w:p>
    <w:p>
      <w:pPr>
        <w:jc w:val="both"/>
        <w:ind w:left="320" w:firstLine="140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(iii)Vesting. </w:t>
      </w:r>
      <w:r>
        <w:rPr>
          <w:rFonts w:ascii="Times New Roman" w:cs="Times New Roman" w:eastAsia="Times New Roman" w:hAnsi="Times New Roman"/>
          <w:sz w:val="18"/>
          <w:szCs w:val="18"/>
          <w:color w:val="auto"/>
        </w:rPr>
        <w:t>The Board may impose such restrictions on or conditions to the vesting of a Restricted Stock Award or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63" w:lineRule="exact"/>
        <w:rPr>
          <w:sz w:val="20"/>
          <w:szCs w:val="20"/>
          <w:color w:val="auto"/>
        </w:rPr>
      </w:pPr>
    </w:p>
    <w:p>
      <w:pPr>
        <w:jc w:val="both"/>
        <w:ind w:left="320" w:firstLine="140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(iv)Termination of Continuous Service. </w:t>
      </w:r>
      <w:r>
        <w:rPr>
          <w:rFonts w:ascii="Times New Roman" w:cs="Times New Roman" w:eastAsia="Times New Roman" w:hAnsi="Times New Roman"/>
          <w:sz w:val="18"/>
          <w:szCs w:val="18"/>
          <w:color w:val="auto"/>
        </w:rPr>
        <w:t>Except as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58" w:lineRule="exact"/>
        <w:rPr>
          <w:sz w:val="20"/>
          <w:szCs w:val="20"/>
          <w:color w:val="auto"/>
        </w:rPr>
      </w:pPr>
    </w:p>
    <w:p>
      <w:pPr>
        <w:jc w:val="both"/>
        <w:ind w:left="320" w:firstLine="140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(v)Dividends and Dividend Equivalents. </w:t>
      </w:r>
      <w:r>
        <w:rPr>
          <w:rFonts w:ascii="Times New Roman" w:cs="Times New Roman" w:eastAsia="Times New Roman" w:hAnsi="Times New Roman"/>
          <w:sz w:val="18"/>
          <w:szCs w:val="18"/>
          <w:color w:val="auto"/>
        </w:rPr>
        <w:t>Dividends or dividend equivalents may be paid or credited, as applicable,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shares of Common Stock subject to a Restricted Stock Award or RSU Award, as determined by the Board and specified in the Award Agreement.</w:t>
      </w:r>
    </w:p>
    <w:p>
      <w:pPr>
        <w:spacing w:after="0" w:line="157" w:lineRule="exact"/>
        <w:rPr>
          <w:sz w:val="20"/>
          <w:szCs w:val="20"/>
          <w:color w:val="auto"/>
        </w:rPr>
      </w:pPr>
    </w:p>
    <w:p>
      <w:pPr>
        <w:jc w:val="both"/>
        <w:ind w:left="320" w:right="20" w:firstLine="1408"/>
        <w:spacing w:after="0" w:line="262" w:lineRule="auto"/>
        <w:rPr>
          <w:sz w:val="20"/>
          <w:szCs w:val="20"/>
          <w:color w:val="auto"/>
        </w:rPr>
      </w:pPr>
      <w:r>
        <w:rPr>
          <w:rFonts w:ascii="Times New Roman" w:cs="Times New Roman" w:eastAsia="Times New Roman" w:hAnsi="Times New Roman"/>
          <w:sz w:val="18"/>
          <w:szCs w:val="18"/>
          <w:b w:val="1"/>
          <w:bCs w:val="1"/>
          <w:color w:val="auto"/>
        </w:rPr>
        <w:t>(vi)Settlement of RSU Awards</w:t>
      </w:r>
      <w:r>
        <w:rPr>
          <w:rFonts w:ascii="Times New Roman" w:cs="Times New Roman" w:eastAsia="Times New Roman" w:hAnsi="Times New Roman"/>
          <w:sz w:val="18"/>
          <w:szCs w:val="18"/>
          <w:color w:val="auto"/>
        </w:rPr>
        <w:t>. An RSU Award may be settled by the issuance of shares of Common Stock or cash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41" w:lineRule="exact"/>
        <w:rPr>
          <w:sz w:val="20"/>
          <w:szCs w:val="20"/>
          <w:color w:val="auto"/>
        </w:rPr>
      </w:pPr>
    </w:p>
    <w:p>
      <w:pPr>
        <w:jc w:val="both"/>
        <w:ind w:left="220" w:right="20" w:firstLine="711"/>
        <w:spacing w:after="0" w:line="268" w:lineRule="auto"/>
        <w:tabs>
          <w:tab w:leader="none" w:pos="14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achieved during the Performance Period, the other terms and conditions of such Award, and the measure of whether and to what degree such Performance Goals have been attained will be determined by the Board.</w:t>
      </w:r>
    </w:p>
    <w:p>
      <w:pPr>
        <w:spacing w:after="0" w:line="143" w:lineRule="exact"/>
        <w:rPr>
          <w:rFonts w:ascii="Times New Roman" w:cs="Times New Roman" w:eastAsia="Times New Roman" w:hAnsi="Times New Roman"/>
          <w:sz w:val="18"/>
          <w:szCs w:val="18"/>
          <w:b w:val="1"/>
          <w:bCs w:val="1"/>
          <w:color w:val="auto"/>
        </w:rPr>
      </w:pPr>
    </w:p>
    <w:p>
      <w:pPr>
        <w:ind w:left="220" w:firstLine="711"/>
        <w:spacing w:after="0" w:line="286" w:lineRule="auto"/>
        <w:tabs>
          <w:tab w:leader="none" w:pos="143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may be granted either alone or in addition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1" w:name="page12"/>
    <w:bookmarkEnd w:id="11"/>
    <w:p>
      <w:pPr>
        <w:spacing w:after="0" w:line="200" w:lineRule="exact"/>
        <w:rPr>
          <w:sz w:val="20"/>
          <w:szCs w:val="20"/>
          <w:color w:val="auto"/>
        </w:rPr>
      </w:pPr>
    </w:p>
    <w:p>
      <w:pPr>
        <w:spacing w:after="0" w:line="250" w:lineRule="exact"/>
        <w:rPr>
          <w:sz w:val="20"/>
          <w:szCs w:val="20"/>
          <w:color w:val="auto"/>
        </w:rPr>
      </w:pPr>
    </w:p>
    <w:p>
      <w:pPr>
        <w:jc w:val="both"/>
        <w:ind w:left="220"/>
        <w:spacing w:after="0" w:line="261" w:lineRule="auto"/>
        <w:rPr>
          <w:sz w:val="20"/>
          <w:szCs w:val="20"/>
          <w:color w:val="auto"/>
        </w:rPr>
      </w:pPr>
      <w:r>
        <w:rPr>
          <w:rFonts w:ascii="Times New Roman" w:cs="Times New Roman" w:eastAsia="Times New Roman" w:hAnsi="Times New Roman"/>
          <w:sz w:val="18"/>
          <w:szCs w:val="18"/>
          <w:color w:val="auto"/>
        </w:rPr>
        <w:t>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62" w:lineRule="exact"/>
        <w:rPr>
          <w:sz w:val="20"/>
          <w:szCs w:val="20"/>
          <w:color w:val="auto"/>
        </w:rPr>
      </w:pPr>
    </w:p>
    <w:p>
      <w:pPr>
        <w:ind w:left="940" w:hanging="712"/>
        <w:spacing w:after="0"/>
        <w:tabs>
          <w:tab w:leader="none" w:pos="9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198"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w:t>
      </w:r>
    </w:p>
    <w:p>
      <w:pPr>
        <w:spacing w:after="0" w:line="31" w:lineRule="exact"/>
        <w:rPr>
          <w:rFonts w:ascii="Times New Roman" w:cs="Times New Roman" w:eastAsia="Times New Roman" w:hAnsi="Times New Roman"/>
          <w:sz w:val="18"/>
          <w:szCs w:val="18"/>
          <w:b w:val="1"/>
          <w:bCs w:val="1"/>
          <w:color w:val="auto"/>
        </w:rPr>
      </w:pPr>
    </w:p>
    <w:p>
      <w:pPr>
        <w:jc w:val="both"/>
        <w:ind w:left="2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57" w:lineRule="exact"/>
        <w:rPr>
          <w:rFonts w:ascii="Times New Roman" w:cs="Times New Roman" w:eastAsia="Times New Roman" w:hAnsi="Times New Roman"/>
          <w:sz w:val="18"/>
          <w:szCs w:val="18"/>
          <w:b w:val="1"/>
          <w:bCs w:val="1"/>
          <w:color w:val="auto"/>
        </w:rPr>
      </w:pPr>
    </w:p>
    <w:p>
      <w:pPr>
        <w:jc w:val="both"/>
        <w:ind w:left="220" w:firstLine="711"/>
        <w:spacing w:after="0" w:line="256" w:lineRule="auto"/>
        <w:tabs>
          <w:tab w:leader="none" w:pos="1435"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69" w:lineRule="exact"/>
        <w:rPr>
          <w:rFonts w:ascii="Times New Roman" w:cs="Times New Roman" w:eastAsia="Times New Roman" w:hAnsi="Times New Roman"/>
          <w:sz w:val="18"/>
          <w:szCs w:val="18"/>
          <w:b w:val="1"/>
          <w:bCs w:val="1"/>
          <w:color w:val="auto"/>
        </w:rPr>
      </w:pPr>
    </w:p>
    <w:p>
      <w:pPr>
        <w:jc w:val="both"/>
        <w:ind w:left="220" w:right="20" w:firstLine="711"/>
        <w:spacing w:after="0" w:line="268" w:lineRule="auto"/>
        <w:tabs>
          <w:tab w:leader="none" w:pos="1435"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43" w:lineRule="exact"/>
        <w:rPr>
          <w:rFonts w:ascii="Times New Roman" w:cs="Times New Roman" w:eastAsia="Times New Roman" w:hAnsi="Times New Roman"/>
          <w:sz w:val="18"/>
          <w:szCs w:val="18"/>
          <w:b w:val="1"/>
          <w:bCs w:val="1"/>
          <w:color w:val="auto"/>
        </w:rPr>
      </w:pPr>
    </w:p>
    <w:p>
      <w:pPr>
        <w:jc w:val="both"/>
        <w:ind w:left="320" w:firstLine="1404"/>
        <w:spacing w:after="0" w:line="255" w:lineRule="auto"/>
        <w:tabs>
          <w:tab w:leader="none" w:pos="1961"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171" w:lineRule="exact"/>
        <w:rPr>
          <w:sz w:val="20"/>
          <w:szCs w:val="20"/>
          <w:color w:val="auto"/>
        </w:rPr>
      </w:pPr>
    </w:p>
    <w:p>
      <w:pPr>
        <w:jc w:val="both"/>
        <w:ind w:left="320" w:firstLine="140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(ii)Awards Held by Current Participants. </w:t>
      </w:r>
      <w:r>
        <w:rPr>
          <w:rFonts w:ascii="Times New Roman" w:cs="Times New Roman" w:eastAsia="Times New Roman" w:hAnsi="Times New Roman"/>
          <w:sz w:val="18"/>
          <w:szCs w:val="18"/>
          <w:color w:val="auto"/>
        </w:rPr>
        <w:t>In the event of a Corporate Transaction in which the surviving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 (or its parent company) does not assume or continue such outstanding Awards or substitute similar awards for such outstanding Awards, then with respect to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2" w:name="page13"/>
    <w:bookmarkEnd w:id="12"/>
    <w:p>
      <w:pPr>
        <w:spacing w:after="0" w:line="200" w:lineRule="exact"/>
        <w:rPr>
          <w:sz w:val="20"/>
          <w:szCs w:val="20"/>
          <w:color w:val="auto"/>
        </w:rPr>
      </w:pPr>
    </w:p>
    <w:p>
      <w:pPr>
        <w:spacing w:after="0" w:line="250"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53" w:lineRule="exact"/>
        <w:rPr>
          <w:sz w:val="20"/>
          <w:szCs w:val="20"/>
          <w:color w:val="auto"/>
        </w:rPr>
      </w:pPr>
    </w:p>
    <w:p>
      <w:pPr>
        <w:jc w:val="both"/>
        <w:ind w:left="320" w:firstLine="140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(iii)Awards Held by Persons other than Current Participants. </w:t>
      </w:r>
      <w:r>
        <w:rPr>
          <w:rFonts w:ascii="Times New Roman" w:cs="Times New Roman" w:eastAsia="Times New Roman" w:hAnsi="Times New Roman"/>
          <w:sz w:val="18"/>
          <w:szCs w:val="18"/>
          <w:color w:val="auto"/>
        </w:rPr>
        <w:t>In the event of a Corporate Transaction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69" w:lineRule="exact"/>
        <w:rPr>
          <w:sz w:val="20"/>
          <w:szCs w:val="20"/>
          <w:color w:val="auto"/>
        </w:rPr>
      </w:pPr>
    </w:p>
    <w:p>
      <w:pPr>
        <w:jc w:val="both"/>
        <w:ind w:left="320" w:firstLine="140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(iv)Payment for Awards in Lieu of Exercise. </w:t>
      </w:r>
      <w:r>
        <w:rPr>
          <w:rFonts w:ascii="Times New Roman" w:cs="Times New Roman" w:eastAsia="Times New Roman" w:hAnsi="Times New Roman"/>
          <w:sz w:val="18"/>
          <w:szCs w:val="18"/>
          <w:color w:val="auto"/>
        </w:rPr>
        <w:t>Notwithstanding the foregoing, in the event an Award will terminate if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52" w:lineRule="exact"/>
        <w:rPr>
          <w:sz w:val="20"/>
          <w:szCs w:val="20"/>
          <w:color w:val="auto"/>
        </w:rPr>
      </w:pPr>
    </w:p>
    <w:p>
      <w:pPr>
        <w:jc w:val="both"/>
        <w:ind w:left="220" w:firstLine="711"/>
        <w:spacing w:after="0" w:line="262" w:lineRule="auto"/>
        <w:tabs>
          <w:tab w:leader="none" w:pos="14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41" w:lineRule="exact"/>
        <w:rPr>
          <w:rFonts w:ascii="Times New Roman" w:cs="Times New Roman" w:eastAsia="Times New Roman" w:hAnsi="Times New Roman"/>
          <w:sz w:val="18"/>
          <w:szCs w:val="18"/>
          <w:b w:val="1"/>
          <w:bCs w:val="1"/>
          <w:color w:val="auto"/>
        </w:rPr>
      </w:pPr>
    </w:p>
    <w:p>
      <w:pPr>
        <w:jc w:val="both"/>
        <w:ind w:left="220" w:firstLine="711"/>
        <w:spacing w:after="0" w:line="256" w:lineRule="auto"/>
        <w:tabs>
          <w:tab w:leader="none" w:pos="14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3" w:name="page14"/>
    <w:bookmarkEnd w:id="13"/>
    <w:p>
      <w:pPr>
        <w:spacing w:after="0" w:line="200" w:lineRule="exact"/>
        <w:rPr>
          <w:sz w:val="20"/>
          <w:szCs w:val="20"/>
          <w:color w:val="auto"/>
        </w:rPr>
      </w:pPr>
    </w:p>
    <w:p>
      <w:pPr>
        <w:spacing w:after="0" w:line="246" w:lineRule="exact"/>
        <w:rPr>
          <w:sz w:val="20"/>
          <w:szCs w:val="20"/>
          <w:color w:val="auto"/>
        </w:rPr>
      </w:pPr>
    </w:p>
    <w:p>
      <w:pPr>
        <w:ind w:left="940" w:hanging="712"/>
        <w:spacing w:after="0"/>
        <w:tabs>
          <w:tab w:leader="none" w:pos="9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198" w:lineRule="exact"/>
        <w:rPr>
          <w:rFonts w:ascii="Times New Roman" w:cs="Times New Roman" w:eastAsia="Times New Roman" w:hAnsi="Times New Roman"/>
          <w:sz w:val="18"/>
          <w:szCs w:val="18"/>
          <w:b w:val="1"/>
          <w:bCs w:val="1"/>
          <w:color w:val="auto"/>
        </w:rPr>
      </w:pPr>
    </w:p>
    <w:p>
      <w:pPr>
        <w:ind w:left="220" w:right="20" w:firstLine="711"/>
        <w:spacing w:after="0" w:line="286" w:lineRule="auto"/>
        <w:tabs>
          <w:tab w:leader="none" w:pos="1435"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as provided in subsection (c) below.</w:t>
      </w:r>
    </w:p>
    <w:p>
      <w:pPr>
        <w:spacing w:after="0" w:line="141"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15" w:lineRule="exact"/>
        <w:rPr>
          <w:rFonts w:ascii="Times New Roman" w:cs="Times New Roman" w:eastAsia="Times New Roman" w:hAnsi="Times New Roman"/>
          <w:sz w:val="18"/>
          <w:szCs w:val="18"/>
          <w:b w:val="1"/>
          <w:bCs w:val="1"/>
          <w:color w:val="auto"/>
        </w:rPr>
      </w:pPr>
    </w:p>
    <w:p>
      <w:pPr>
        <w:jc w:val="both"/>
        <w:ind w:left="320" w:firstLine="1404"/>
        <w:spacing w:after="0" w:line="255" w:lineRule="auto"/>
        <w:tabs>
          <w:tab w:leader="none" w:pos="1961"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61" w:lineRule="exact"/>
        <w:rPr>
          <w:rFonts w:ascii="Times New Roman" w:cs="Times New Roman" w:eastAsia="Times New Roman" w:hAnsi="Times New Roman"/>
          <w:sz w:val="18"/>
          <w:szCs w:val="18"/>
          <w:b w:val="1"/>
          <w:bCs w:val="1"/>
          <w:color w:val="auto"/>
        </w:rPr>
      </w:pPr>
    </w:p>
    <w:p>
      <w:pPr>
        <w:jc w:val="both"/>
        <w:ind w:left="320" w:firstLine="1404"/>
        <w:spacing w:after="0" w:line="266" w:lineRule="auto"/>
        <w:tabs>
          <w:tab w:leader="none" w:pos="1961"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62" w:lineRule="exact"/>
        <w:rPr>
          <w:rFonts w:ascii="Times New Roman" w:cs="Times New Roman" w:eastAsia="Times New Roman" w:hAnsi="Times New Roman"/>
          <w:sz w:val="18"/>
          <w:szCs w:val="18"/>
          <w:b w:val="1"/>
          <w:bCs w:val="1"/>
          <w:color w:val="auto"/>
        </w:rPr>
      </w:pPr>
    </w:p>
    <w:p>
      <w:pPr>
        <w:ind w:left="2420" w:hanging="695"/>
        <w:spacing w:after="0"/>
        <w:tabs>
          <w:tab w:leader="none" w:pos="2420"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1" w:lineRule="exact"/>
        <w:rPr>
          <w:sz w:val="20"/>
          <w:szCs w:val="20"/>
          <w:color w:val="auto"/>
        </w:rPr>
      </w:pPr>
    </w:p>
    <w:p>
      <w:pPr>
        <w:jc w:val="both"/>
        <w:ind w:left="320" w:firstLine="1408"/>
        <w:spacing w:after="0" w:line="268"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To accelerate the time at which an Award may first be exercised or the time during which an Award or any part thereof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notwithstanding the provisions in the Award Agreement stating the time at which it may first be exercised or the time during which it will vest.</w:t>
      </w:r>
    </w:p>
    <w:p>
      <w:pPr>
        <w:spacing w:after="0" w:line="161" w:lineRule="exact"/>
        <w:rPr>
          <w:sz w:val="20"/>
          <w:szCs w:val="20"/>
          <w:color w:val="auto"/>
        </w:rPr>
      </w:pPr>
    </w:p>
    <w:p>
      <w:pPr>
        <w:jc w:val="both"/>
        <w:ind w:left="320" w:firstLine="1404"/>
        <w:spacing w:after="0" w:line="261" w:lineRule="auto"/>
        <w:tabs>
          <w:tab w:leader="none" w:pos="196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(but not limited to) any Corporate Transaction, for reasons of administrative convenience.</w:t>
      </w:r>
    </w:p>
    <w:p>
      <w:pPr>
        <w:spacing w:after="0" w:line="162" w:lineRule="exact"/>
        <w:rPr>
          <w:sz w:val="20"/>
          <w:szCs w:val="20"/>
          <w:color w:val="auto"/>
        </w:rPr>
      </w:pPr>
    </w:p>
    <w:p>
      <w:pPr>
        <w:jc w:val="both"/>
        <w:ind w:left="320" w:right="20" w:firstLine="1408"/>
        <w:spacing w:after="0" w:line="286" w:lineRule="auto"/>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To suspend or terminate the Plan at any time. Suspension or termination of the Plan will not Materially Impair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any Award granted while the Plan is in effect except with the written consent of the affected Participant.</w:t>
      </w:r>
    </w:p>
    <w:p>
      <w:pPr>
        <w:spacing w:after="0" w:line="20" w:lineRule="exact"/>
        <w:rPr>
          <w:sz w:val="20"/>
          <w:szCs w:val="20"/>
          <w:color w:val="auto"/>
        </w:rPr>
      </w:pPr>
    </w:p>
    <w:p>
      <w:pPr>
        <w:jc w:val="both"/>
        <w:ind w:left="320" w:firstLine="1408"/>
        <w:spacing w:after="0" w:line="262" w:lineRule="auto"/>
        <w:rPr>
          <w:sz w:val="20"/>
          <w:szCs w:val="20"/>
          <w:color w:val="auto"/>
        </w:rPr>
      </w:pP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stockholder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53" w:lineRule="exact"/>
        <w:rPr>
          <w:sz w:val="20"/>
          <w:szCs w:val="20"/>
          <w:color w:val="auto"/>
        </w:rPr>
      </w:pPr>
    </w:p>
    <w:p>
      <w:pPr>
        <w:ind w:left="2420" w:hanging="695"/>
        <w:spacing w:after="0"/>
        <w:tabs>
          <w:tab w:leader="none" w:pos="24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1" w:lineRule="exact"/>
        <w:rPr>
          <w:sz w:val="20"/>
          <w:szCs w:val="20"/>
          <w:color w:val="auto"/>
        </w:rPr>
      </w:pPr>
    </w:p>
    <w:p>
      <w:pPr>
        <w:jc w:val="both"/>
        <w:ind w:left="320" w:firstLine="1408"/>
        <w:spacing w:after="0" w:line="262" w:lineRule="auto"/>
        <w:rPr>
          <w:sz w:val="20"/>
          <w:szCs w:val="20"/>
          <w:color w:val="auto"/>
        </w:rPr>
      </w:pP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To approve forms of Award Agreements for use under the Plan and to amend the terms of any one or more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4" w:name="page15"/>
    <w:bookmarkEnd w:id="14"/>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Participant, and (2) such Participant consents in writing.</w:t>
      </w:r>
    </w:p>
    <w:p>
      <w:pPr>
        <w:spacing w:after="0" w:line="212" w:lineRule="exact"/>
        <w:rPr>
          <w:sz w:val="20"/>
          <w:szCs w:val="20"/>
          <w:color w:val="auto"/>
        </w:rPr>
      </w:pPr>
    </w:p>
    <w:p>
      <w:pPr>
        <w:ind w:left="320" w:firstLine="1404"/>
        <w:spacing w:after="0" w:line="282" w:lineRule="auto"/>
        <w:tabs>
          <w:tab w:leader="none" w:pos="196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44" w:lineRule="exact"/>
        <w:rPr>
          <w:sz w:val="20"/>
          <w:szCs w:val="20"/>
          <w:color w:val="auto"/>
        </w:rPr>
      </w:pPr>
    </w:p>
    <w:p>
      <w:pPr>
        <w:jc w:val="both"/>
        <w:ind w:left="320" w:firstLine="1408"/>
        <w:spacing w:after="0" w:line="259" w:lineRule="auto"/>
        <w:rPr>
          <w:sz w:val="20"/>
          <w:szCs w:val="20"/>
          <w:color w:val="auto"/>
        </w:rPr>
      </w:pPr>
      <w:r>
        <w:rPr>
          <w:rFonts w:ascii="Times New Roman" w:cs="Times New Roman" w:eastAsia="Times New Roman" w:hAnsi="Times New Roman"/>
          <w:sz w:val="18"/>
          <w:szCs w:val="18"/>
          <w:b w:val="1"/>
          <w:bCs w:val="1"/>
          <w:color w:val="auto"/>
        </w:rPr>
        <w:t>(xi)</w:t>
      </w:r>
      <w:r>
        <w:rPr>
          <w:rFonts w:ascii="Times New Roman" w:cs="Times New Roman" w:eastAsia="Times New Roman" w:hAnsi="Times New Roman"/>
          <w:sz w:val="18"/>
          <w:szCs w:val="18"/>
          <w:color w:val="auto"/>
        </w:rPr>
        <w:t>To adopt or amend such procedures and sub-plans as are necessary or appropriate to accommodate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local laws, procedures and practices,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52" w:lineRule="exact"/>
        <w:rPr>
          <w:sz w:val="20"/>
          <w:szCs w:val="20"/>
          <w:color w:val="auto"/>
        </w:rPr>
      </w:pPr>
    </w:p>
    <w:p>
      <w:pPr>
        <w:jc w:val="both"/>
        <w:ind w:left="320" w:firstLine="1408"/>
        <w:spacing w:after="0" w:line="257" w:lineRule="auto"/>
        <w:rPr>
          <w:sz w:val="20"/>
          <w:szCs w:val="20"/>
          <w:color w:val="auto"/>
        </w:rPr>
      </w:pPr>
      <w:r>
        <w:rPr>
          <w:rFonts w:ascii="Times New Roman" w:cs="Times New Roman" w:eastAsia="Times New Roman" w:hAnsi="Times New Roman"/>
          <w:sz w:val="18"/>
          <w:szCs w:val="18"/>
          <w:b w:val="1"/>
          <w:bCs w:val="1"/>
          <w:color w:val="auto"/>
        </w:rPr>
        <w:t>(xii)</w:t>
      </w:r>
      <w:r>
        <w:rPr>
          <w:rFonts w:ascii="Times New Roman" w:cs="Times New Roman" w:eastAsia="Times New Roman" w:hAnsi="Times New Roman"/>
          <w:sz w:val="18"/>
          <w:szCs w:val="18"/>
          <w:color w:val="auto"/>
        </w:rPr>
        <w:t>To effect, at any time and from time to time, subject to the consent of any Participant whose Award is Materially Impaired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69" w:lineRule="exact"/>
        <w:rPr>
          <w:sz w:val="20"/>
          <w:szCs w:val="20"/>
          <w:color w:val="auto"/>
        </w:rPr>
      </w:pPr>
    </w:p>
    <w:p>
      <w:pPr>
        <w:ind w:left="1660" w:hanging="714"/>
        <w:spacing w:after="0"/>
        <w:tabs>
          <w:tab w:leader="none" w:pos="1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jc w:val="both"/>
        <w:ind w:left="320" w:firstLine="1404"/>
        <w:spacing w:after="0" w:line="254" w:lineRule="auto"/>
        <w:tabs>
          <w:tab w:leader="none" w:pos="1961"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any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3" w:lineRule="exact"/>
        <w:rPr>
          <w:sz w:val="20"/>
          <w:szCs w:val="20"/>
          <w:color w:val="auto"/>
        </w:rPr>
      </w:pPr>
    </w:p>
    <w:p>
      <w:pPr>
        <w:jc w:val="both"/>
        <w:ind w:left="320" w:firstLine="140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(ii)Rule 16b-3 Compliance. </w:t>
      </w:r>
      <w:r>
        <w:rPr>
          <w:rFonts w:ascii="Times New Roman" w:cs="Times New Roman" w:eastAsia="Times New Roman" w:hAnsi="Times New Roman"/>
          <w:sz w:val="18"/>
          <w:szCs w:val="18"/>
          <w:color w:val="auto"/>
        </w:rPr>
        <w:t>To the extent an Award is intended to qualify for the exemption from Section 16(b)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2" w:lineRule="exact"/>
        <w:rPr>
          <w:sz w:val="20"/>
          <w:szCs w:val="20"/>
          <w:color w:val="auto"/>
        </w:rPr>
      </w:pPr>
    </w:p>
    <w:p>
      <w:pPr>
        <w:ind w:left="220" w:firstLine="711"/>
        <w:spacing w:after="0" w:line="286" w:lineRule="auto"/>
        <w:tabs>
          <w:tab w:leader="none" w:pos="14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will not be subject to review by any person and will be final, binding and conclusive on all persons.</w:t>
      </w:r>
    </w:p>
    <w:p>
      <w:pPr>
        <w:spacing w:after="0" w:line="141" w:lineRule="exact"/>
        <w:rPr>
          <w:rFonts w:ascii="Times New Roman" w:cs="Times New Roman" w:eastAsia="Times New Roman" w:hAnsi="Times New Roman"/>
          <w:sz w:val="18"/>
          <w:szCs w:val="18"/>
          <w:b w:val="1"/>
          <w:bCs w:val="1"/>
          <w:color w:val="auto"/>
        </w:rPr>
      </w:pPr>
    </w:p>
    <w:p>
      <w:pPr>
        <w:jc w:val="both"/>
        <w:ind w:left="220" w:firstLine="711"/>
        <w:spacing w:after="0" w:line="262" w:lineRule="auto"/>
        <w:tabs>
          <w:tab w:leader="none" w:pos="14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5" w:name="page16"/>
    <w:bookmarkEnd w:id="15"/>
    <w:p>
      <w:pPr>
        <w:spacing w:after="0" w:line="200" w:lineRule="exact"/>
        <w:rPr>
          <w:sz w:val="20"/>
          <w:szCs w:val="20"/>
          <w:color w:val="auto"/>
        </w:rPr>
      </w:pPr>
    </w:p>
    <w:p>
      <w:pPr>
        <w:spacing w:after="0" w:line="250"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8"/>
          <w:szCs w:val="18"/>
          <w:color w:val="auto"/>
        </w:rPr>
        <w:t>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70" w:lineRule="exact"/>
        <w:rPr>
          <w:sz w:val="20"/>
          <w:szCs w:val="20"/>
          <w:color w:val="auto"/>
        </w:rPr>
      </w:pPr>
    </w:p>
    <w:p>
      <w:pPr>
        <w:ind w:left="940" w:hanging="712"/>
        <w:spacing w:after="0"/>
        <w:tabs>
          <w:tab w:leader="none" w:pos="9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198" w:lineRule="exact"/>
        <w:rPr>
          <w:rFonts w:ascii="Times New Roman" w:cs="Times New Roman" w:eastAsia="Times New Roman" w:hAnsi="Times New Roman"/>
          <w:sz w:val="18"/>
          <w:szCs w:val="18"/>
          <w:b w:val="1"/>
          <w:bCs w:val="1"/>
          <w:color w:val="auto"/>
        </w:rPr>
      </w:pPr>
    </w:p>
    <w:p>
      <w:pPr>
        <w:jc w:val="both"/>
        <w:ind w:left="220" w:firstLine="711"/>
        <w:spacing w:after="0" w:line="257" w:lineRule="auto"/>
        <w:tabs>
          <w:tab w:leader="none" w:pos="1435"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and any other amounts payable to such Participant, and otherwise agrees to make adequate provision for, any sums required to satisfy any U.S. federal, state, local and/or foreign tax or social insurance contribution withholding obligations of the Company or an Affiliate, if any, which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55" w:lineRule="exact"/>
        <w:rPr>
          <w:rFonts w:ascii="Times New Roman" w:cs="Times New Roman" w:eastAsia="Times New Roman" w:hAnsi="Times New Roman"/>
          <w:sz w:val="18"/>
          <w:szCs w:val="18"/>
          <w:b w:val="1"/>
          <w:bCs w:val="1"/>
          <w:color w:val="auto"/>
        </w:rPr>
      </w:pPr>
    </w:p>
    <w:p>
      <w:pPr>
        <w:jc w:val="both"/>
        <w:ind w:left="220" w:firstLine="711"/>
        <w:spacing w:after="0" w:line="256" w:lineRule="auto"/>
        <w:tabs>
          <w:tab w:leader="none" w:pos="1435"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69" w:lineRule="exact"/>
        <w:rPr>
          <w:rFonts w:ascii="Times New Roman" w:cs="Times New Roman" w:eastAsia="Times New Roman" w:hAnsi="Times New Roman"/>
          <w:sz w:val="18"/>
          <w:szCs w:val="18"/>
          <w:b w:val="1"/>
          <w:bCs w:val="1"/>
          <w:color w:val="auto"/>
        </w:rPr>
      </w:pPr>
    </w:p>
    <w:p>
      <w:pPr>
        <w:jc w:val="both"/>
        <w:ind w:left="220" w:firstLine="711"/>
        <w:spacing w:after="0" w:line="253" w:lineRule="auto"/>
        <w:tabs>
          <w:tab w:leader="none" w:pos="1435"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w:t>
      </w:r>
      <w:r>
        <w:rPr>
          <w:rFonts w:ascii="Times New Roman" w:cs="Times New Roman" w:eastAsia="Times New Roman" w:hAnsi="Times New Roman"/>
          <w:sz w:val="19"/>
          <w:szCs w:val="19"/>
          <w:color w:val="auto"/>
        </w:rPr>
        <w:t>for any adverse tax consequences to such holder in</w:t>
      </w:r>
      <w:r>
        <w:rPr>
          <w:rFonts w:ascii="Times New Roman" w:cs="Times New Roman" w:eastAsia="Times New Roman" w:hAnsi="Times New Roman"/>
          <w:sz w:val="18"/>
          <w:szCs w:val="18"/>
          <w:color w:val="auto"/>
        </w:rPr>
        <w:t xml:space="preserve">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57"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6" w:name="page17"/>
    <w:bookmarkEnd w:id="16"/>
    <w:p>
      <w:pPr>
        <w:spacing w:after="0" w:line="200" w:lineRule="exact"/>
        <w:rPr>
          <w:sz w:val="20"/>
          <w:szCs w:val="20"/>
          <w:color w:val="auto"/>
        </w:rPr>
      </w:pPr>
    </w:p>
    <w:p>
      <w:pPr>
        <w:spacing w:after="0" w:line="237" w:lineRule="exact"/>
        <w:rPr>
          <w:sz w:val="20"/>
          <w:szCs w:val="20"/>
          <w:color w:val="auto"/>
        </w:rPr>
      </w:pPr>
    </w:p>
    <w:p>
      <w:pPr>
        <w:jc w:val="both"/>
        <w:ind w:left="220"/>
        <w:spacing w:after="0" w:line="266" w:lineRule="auto"/>
        <w:rPr>
          <w:sz w:val="20"/>
          <w:szCs w:val="20"/>
          <w:color w:val="auto"/>
        </w:rPr>
      </w:pPr>
      <w:r>
        <w:rPr>
          <w:rFonts w:ascii="Times New Roman" w:cs="Times New Roman" w:eastAsia="Times New Roman" w:hAnsi="Times New Roman"/>
          <w:sz w:val="18"/>
          <w:szCs w:val="18"/>
          <w:color w:val="auto"/>
        </w:rPr>
        <w:t>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58" w:lineRule="exact"/>
        <w:rPr>
          <w:sz w:val="20"/>
          <w:szCs w:val="20"/>
          <w:color w:val="auto"/>
        </w:rPr>
      </w:pPr>
    </w:p>
    <w:p>
      <w:pPr>
        <w:ind w:left="940" w:hanging="712"/>
        <w:spacing w:after="0"/>
        <w:tabs>
          <w:tab w:leader="none" w:pos="9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ISCELLANEOUS</w:t>
      </w:r>
      <w:r>
        <w:rPr>
          <w:rFonts w:ascii="Times New Roman" w:cs="Times New Roman" w:eastAsia="Times New Roman" w:hAnsi="Times New Roman"/>
          <w:sz w:val="18"/>
          <w:szCs w:val="18"/>
          <w:b w:val="1"/>
          <w:bCs w:val="1"/>
          <w:color w:val="auto"/>
        </w:rPr>
        <w:t>.</w:t>
      </w:r>
    </w:p>
    <w:p>
      <w:pPr>
        <w:spacing w:after="0" w:line="198" w:lineRule="exact"/>
        <w:rPr>
          <w:rFonts w:ascii="Times New Roman" w:cs="Times New Roman" w:eastAsia="Times New Roman" w:hAnsi="Times New Roman"/>
          <w:sz w:val="18"/>
          <w:szCs w:val="18"/>
          <w:b w:val="1"/>
          <w:bCs w:val="1"/>
          <w:color w:val="auto"/>
        </w:rPr>
      </w:pPr>
    </w:p>
    <w:p>
      <w:pPr>
        <w:ind w:left="220" w:firstLine="711"/>
        <w:spacing w:after="0" w:line="286" w:lineRule="auto"/>
        <w:tabs>
          <w:tab w:leader="none" w:pos="1435"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shares repurchased by the Company on the open market or otherwise.</w:t>
      </w:r>
    </w:p>
    <w:p>
      <w:pPr>
        <w:spacing w:after="0" w:line="141" w:lineRule="exact"/>
        <w:rPr>
          <w:rFonts w:ascii="Times New Roman" w:cs="Times New Roman" w:eastAsia="Times New Roman" w:hAnsi="Times New Roman"/>
          <w:sz w:val="18"/>
          <w:szCs w:val="18"/>
          <w:b w:val="1"/>
          <w:bCs w:val="1"/>
          <w:color w:val="auto"/>
        </w:rPr>
      </w:pPr>
    </w:p>
    <w:p>
      <w:pPr>
        <w:ind w:left="220" w:right="20" w:firstLine="711"/>
        <w:spacing w:after="0" w:line="286" w:lineRule="auto"/>
        <w:tabs>
          <w:tab w:leader="none" w:pos="1435"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41" w:lineRule="exact"/>
        <w:rPr>
          <w:rFonts w:ascii="Times New Roman" w:cs="Times New Roman" w:eastAsia="Times New Roman" w:hAnsi="Times New Roman"/>
          <w:sz w:val="18"/>
          <w:szCs w:val="18"/>
          <w:b w:val="1"/>
          <w:bCs w:val="1"/>
          <w:color w:val="auto"/>
        </w:rPr>
      </w:pPr>
    </w:p>
    <w:p>
      <w:pPr>
        <w:jc w:val="both"/>
        <w:ind w:left="220" w:firstLine="711"/>
        <w:spacing w:after="0" w:line="256" w:lineRule="auto"/>
        <w:tabs>
          <w:tab w:leader="none" w:pos="1435"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55" w:lineRule="exact"/>
        <w:rPr>
          <w:rFonts w:ascii="Times New Roman" w:cs="Times New Roman" w:eastAsia="Times New Roman" w:hAnsi="Times New Roman"/>
          <w:sz w:val="18"/>
          <w:szCs w:val="18"/>
          <w:b w:val="1"/>
          <w:bCs w:val="1"/>
          <w:color w:val="auto"/>
        </w:rPr>
      </w:pPr>
    </w:p>
    <w:p>
      <w:pPr>
        <w:ind w:left="220" w:right="20" w:firstLine="711"/>
        <w:spacing w:after="0" w:line="263" w:lineRule="auto"/>
        <w:tabs>
          <w:tab w:leader="none" w:pos="1435"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such Award unless and until</w:t>
      </w:r>
    </w:p>
    <w:p>
      <w:pPr>
        <w:ind w:left="240" w:hanging="8"/>
        <w:spacing w:after="0" w:line="250" w:lineRule="auto"/>
        <w:tabs>
          <w:tab w:leader="none" w:pos="4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has satisfied all requirements for exercise of the Award pursuant to its terms, if applicable, and (ii) the issuance of the Common Stock subject to such Award is reflected in the records of the Company.</w:t>
      </w:r>
    </w:p>
    <w:p>
      <w:pPr>
        <w:jc w:val="both"/>
        <w:ind w:left="220" w:firstLine="711"/>
        <w:spacing w:after="0" w:line="253" w:lineRule="auto"/>
        <w:tabs>
          <w:tab w:leader="none" w:pos="1435"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56" w:lineRule="exact"/>
        <w:rPr>
          <w:rFonts w:ascii="Times New Roman" w:cs="Times New Roman" w:eastAsia="Times New Roman" w:hAnsi="Times New Roman"/>
          <w:sz w:val="18"/>
          <w:szCs w:val="18"/>
          <w:b w:val="1"/>
          <w:bCs w:val="1"/>
          <w:color w:val="auto"/>
        </w:rPr>
      </w:pPr>
    </w:p>
    <w:p>
      <w:pPr>
        <w:jc w:val="both"/>
        <w:ind w:left="220" w:firstLine="711"/>
        <w:spacing w:after="0" w:line="256" w:lineRule="auto"/>
        <w:tabs>
          <w:tab w:leader="none" w:pos="1435"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7" w:name="page18"/>
    <w:bookmarkEnd w:id="17"/>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so reduced or extended.</w:t>
      </w:r>
    </w:p>
    <w:p>
      <w:pPr>
        <w:spacing w:after="0" w:line="194" w:lineRule="exact"/>
        <w:rPr>
          <w:sz w:val="20"/>
          <w:szCs w:val="20"/>
          <w:color w:val="auto"/>
        </w:rPr>
      </w:pPr>
    </w:p>
    <w:p>
      <w:pPr>
        <w:jc w:val="both"/>
        <w:ind w:left="220" w:firstLine="711"/>
        <w:spacing w:after="0" w:line="268" w:lineRule="auto"/>
        <w:tabs>
          <w:tab w:leader="none" w:pos="14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57" w:lineRule="exact"/>
        <w:rPr>
          <w:rFonts w:ascii="Times New Roman" w:cs="Times New Roman" w:eastAsia="Times New Roman" w:hAnsi="Times New Roman"/>
          <w:sz w:val="18"/>
          <w:szCs w:val="18"/>
          <w:b w:val="1"/>
          <w:bCs w:val="1"/>
          <w:color w:val="auto"/>
        </w:rPr>
      </w:pPr>
    </w:p>
    <w:p>
      <w:pPr>
        <w:jc w:val="both"/>
        <w:ind w:left="220" w:firstLine="711"/>
        <w:spacing w:after="0" w:line="257" w:lineRule="auto"/>
        <w:tabs>
          <w:tab w:leader="none" w:pos="14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55" w:lineRule="exact"/>
        <w:rPr>
          <w:rFonts w:ascii="Times New Roman" w:cs="Times New Roman" w:eastAsia="Times New Roman" w:hAnsi="Times New Roman"/>
          <w:sz w:val="18"/>
          <w:szCs w:val="18"/>
          <w:b w:val="1"/>
          <w:bCs w:val="1"/>
          <w:color w:val="auto"/>
        </w:rPr>
      </w:pPr>
    </w:p>
    <w:p>
      <w:pPr>
        <w:jc w:val="both"/>
        <w:ind w:left="220" w:firstLine="711"/>
        <w:spacing w:after="0" w:line="254" w:lineRule="auto"/>
        <w:tabs>
          <w:tab w:leader="none" w:pos="14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53" w:lineRule="exact"/>
        <w:rPr>
          <w:rFonts w:ascii="Times New Roman" w:cs="Times New Roman" w:eastAsia="Times New Roman" w:hAnsi="Times New Roman"/>
          <w:sz w:val="18"/>
          <w:szCs w:val="18"/>
          <w:b w:val="1"/>
          <w:bCs w:val="1"/>
          <w:color w:val="auto"/>
        </w:rPr>
      </w:pPr>
    </w:p>
    <w:p>
      <w:pPr>
        <w:jc w:val="both"/>
        <w:ind w:left="220" w:firstLine="711"/>
        <w:spacing w:after="0" w:line="262" w:lineRule="auto"/>
        <w:tabs>
          <w:tab w:leader="none" w:pos="14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49" w:lineRule="exact"/>
        <w:rPr>
          <w:rFonts w:ascii="Times New Roman" w:cs="Times New Roman" w:eastAsia="Times New Roman" w:hAnsi="Times New Roman"/>
          <w:sz w:val="18"/>
          <w:szCs w:val="18"/>
          <w:b w:val="1"/>
          <w:bCs w:val="1"/>
          <w:color w:val="auto"/>
        </w:rPr>
      </w:pPr>
    </w:p>
    <w:p>
      <w:pPr>
        <w:jc w:val="both"/>
        <w:ind w:left="220" w:firstLine="711"/>
        <w:spacing w:after="0" w:line="259" w:lineRule="auto"/>
        <w:tabs>
          <w:tab w:leader="none" w:pos="14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65" w:lineRule="exact"/>
        <w:rPr>
          <w:rFonts w:ascii="Times New Roman" w:cs="Times New Roman" w:eastAsia="Times New Roman" w:hAnsi="Times New Roman"/>
          <w:sz w:val="18"/>
          <w:szCs w:val="18"/>
          <w:b w:val="1"/>
          <w:bCs w:val="1"/>
          <w:color w:val="auto"/>
        </w:rPr>
      </w:pPr>
    </w:p>
    <w:p>
      <w:pPr>
        <w:jc w:val="both"/>
        <w:ind w:left="220" w:firstLine="711"/>
        <w:spacing w:after="0" w:line="262" w:lineRule="auto"/>
        <w:tabs>
          <w:tab w:leader="none" w:pos="14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2" w:lineRule="exact"/>
        <w:rPr>
          <w:rFonts w:ascii="Times New Roman" w:cs="Times New Roman" w:eastAsia="Times New Roman" w:hAnsi="Times New Roman"/>
          <w:sz w:val="18"/>
          <w:szCs w:val="18"/>
          <w:b w:val="1"/>
          <w:bCs w:val="1"/>
          <w:color w:val="auto"/>
        </w:rPr>
      </w:pPr>
    </w:p>
    <w:p>
      <w:pPr>
        <w:ind w:left="220" w:firstLine="711"/>
        <w:spacing w:after="0" w:line="286" w:lineRule="auto"/>
        <w:tabs>
          <w:tab w:leader="none" w:pos="14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or the payment of cash, upon the exercise, vesting or settlement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8" w:name="page19"/>
    <w:bookmarkEnd w:id="18"/>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of all or a portion of any Award may be deferred and may also establish programs and procedures for deferral elections to be made by Participants.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Deferrals will be made in accordance with the requirements of Section 409A.</w:t>
      </w:r>
    </w:p>
    <w:p>
      <w:pPr>
        <w:spacing w:after="0" w:line="176" w:lineRule="exact"/>
        <w:rPr>
          <w:sz w:val="20"/>
          <w:szCs w:val="20"/>
          <w:color w:val="auto"/>
        </w:rPr>
      </w:pPr>
    </w:p>
    <w:p>
      <w:pPr>
        <w:jc w:val="both"/>
        <w:ind w:left="220" w:firstLine="711"/>
        <w:spacing w:after="0" w:line="253" w:lineRule="auto"/>
        <w:tabs>
          <w:tab w:leader="none" w:pos="14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60" w:lineRule="exact"/>
        <w:rPr>
          <w:rFonts w:ascii="Times New Roman" w:cs="Times New Roman" w:eastAsia="Times New Roman" w:hAnsi="Times New Roman"/>
          <w:sz w:val="18"/>
          <w:szCs w:val="18"/>
          <w:b w:val="1"/>
          <w:bCs w:val="1"/>
          <w:color w:val="auto"/>
        </w:rPr>
      </w:pPr>
    </w:p>
    <w:p>
      <w:pPr>
        <w:jc w:val="both"/>
        <w:ind w:left="220" w:firstLine="711"/>
        <w:spacing w:after="0" w:line="268" w:lineRule="auto"/>
        <w:tabs>
          <w:tab w:leader="none" w:pos="14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internal laws of the State of Delaware, without regard to conflict of law principles that would result in any application of any law other than the law of the State of Delaware.</w:t>
      </w:r>
    </w:p>
    <w:p>
      <w:pPr>
        <w:spacing w:after="0" w:line="171" w:lineRule="exact"/>
        <w:rPr>
          <w:sz w:val="20"/>
          <w:szCs w:val="20"/>
          <w:color w:val="auto"/>
        </w:rPr>
      </w:pPr>
    </w:p>
    <w:p>
      <w:pPr>
        <w:ind w:left="940" w:hanging="712"/>
        <w:spacing w:after="0"/>
        <w:tabs>
          <w:tab w:leader="none" w:pos="9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both"/>
        <w:ind w:left="240" w:firstLine="704"/>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61" w:lineRule="exact"/>
        <w:rPr>
          <w:sz w:val="20"/>
          <w:szCs w:val="20"/>
          <w:color w:val="auto"/>
        </w:rPr>
      </w:pPr>
    </w:p>
    <w:p>
      <w:pPr>
        <w:ind w:left="940" w:hanging="712"/>
        <w:spacing w:after="0"/>
        <w:tabs>
          <w:tab w:leader="none" w:pos="9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98" w:lineRule="exact"/>
        <w:rPr>
          <w:rFonts w:ascii="Times New Roman" w:cs="Times New Roman" w:eastAsia="Times New Roman" w:hAnsi="Times New Roman"/>
          <w:sz w:val="18"/>
          <w:szCs w:val="18"/>
          <w:b w:val="1"/>
          <w:bCs w:val="1"/>
          <w:color w:val="auto"/>
        </w:rPr>
      </w:pPr>
    </w:p>
    <w:p>
      <w:pPr>
        <w:jc w:val="both"/>
        <w:ind w:left="220" w:right="20" w:firstLine="711"/>
        <w:spacing w:after="0" w:line="268" w:lineRule="auto"/>
        <w:tabs>
          <w:tab w:leader="none" w:pos="1435"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provisions of this Section shall apply and shall supersede anything to the contrary set forth in the Award Agreement for a Non-Exempt Award.</w:t>
      </w:r>
    </w:p>
    <w:p>
      <w:pPr>
        <w:spacing w:after="0" w:line="157" w:lineRule="exact"/>
        <w:rPr>
          <w:rFonts w:ascii="Times New Roman" w:cs="Times New Roman" w:eastAsia="Times New Roman" w:hAnsi="Times New Roman"/>
          <w:sz w:val="18"/>
          <w:szCs w:val="18"/>
          <w:b w:val="1"/>
          <w:bCs w:val="1"/>
          <w:color w:val="auto"/>
        </w:rPr>
      </w:pPr>
    </w:p>
    <w:p>
      <w:pPr>
        <w:ind w:left="220" w:right="20" w:firstLine="711"/>
        <w:spacing w:after="0" w:line="286" w:lineRule="auto"/>
        <w:tabs>
          <w:tab w:leader="none" w:pos="1435"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due to application of a Non-Exempt Severance Arrangement, the following provisions of this subsection (b) apply.</w:t>
      </w:r>
    </w:p>
    <w:p>
      <w:pPr>
        <w:spacing w:after="0" w:line="145" w:lineRule="exact"/>
        <w:rPr>
          <w:rFonts w:ascii="Times New Roman" w:cs="Times New Roman" w:eastAsia="Times New Roman" w:hAnsi="Times New Roman"/>
          <w:sz w:val="18"/>
          <w:szCs w:val="18"/>
          <w:b w:val="1"/>
          <w:bCs w:val="1"/>
          <w:color w:val="auto"/>
        </w:rPr>
      </w:pPr>
    </w:p>
    <w:p>
      <w:pPr>
        <w:ind w:left="1960" w:hanging="236"/>
        <w:spacing w:after="0"/>
        <w:tabs>
          <w:tab w:leader="none" w:pos="1960" w:val="left"/>
        </w:tabs>
        <w:numPr>
          <w:ilvl w:val="2"/>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19" w:name="page20"/>
    <w:bookmarkEnd w:id="19"/>
    <w:p>
      <w:pPr>
        <w:spacing w:after="0" w:line="200" w:lineRule="exact"/>
        <w:rPr>
          <w:sz w:val="20"/>
          <w:szCs w:val="20"/>
          <w:color w:val="auto"/>
        </w:rPr>
      </w:pPr>
    </w:p>
    <w:p>
      <w:pPr>
        <w:spacing w:after="0" w:line="250"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xml:space="preserve"> day that follows the applicable vesting date.</w:t>
      </w:r>
    </w:p>
    <w:p>
      <w:pPr>
        <w:spacing w:after="0" w:line="149" w:lineRule="exact"/>
        <w:rPr>
          <w:sz w:val="20"/>
          <w:szCs w:val="20"/>
          <w:color w:val="auto"/>
        </w:rPr>
      </w:pPr>
    </w:p>
    <w:p>
      <w:pPr>
        <w:jc w:val="both"/>
        <w:ind w:left="320" w:firstLine="1404"/>
        <w:spacing w:after="0" w:line="254" w:lineRule="auto"/>
        <w:tabs>
          <w:tab w:leader="none" w:pos="196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issued earlier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74" w:lineRule="exact"/>
        <w:rPr>
          <w:sz w:val="20"/>
          <w:szCs w:val="20"/>
          <w:color w:val="auto"/>
        </w:rPr>
      </w:pPr>
    </w:p>
    <w:p>
      <w:pPr>
        <w:jc w:val="both"/>
        <w:ind w:left="320" w:firstLine="1408"/>
        <w:spacing w:after="0" w:line="256"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If vesting of a Non-Exempt Award accelerates under the terms of a Non-Exempt Severance Arrangement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 Exempt Award. Such issuance schedule is intended to satisfy the requirements of payment on a specified date or pursuant to a fixed schedule, as provided under Treasury Regulations Section 1.409A-3(a)(4).</w:t>
      </w:r>
    </w:p>
    <w:p>
      <w:pPr>
        <w:spacing w:after="0" w:line="169" w:lineRule="exact"/>
        <w:rPr>
          <w:sz w:val="20"/>
          <w:szCs w:val="20"/>
          <w:color w:val="auto"/>
        </w:rPr>
      </w:pPr>
    </w:p>
    <w:p>
      <w:pPr>
        <w:jc w:val="both"/>
        <w:ind w:left="220" w:firstLine="711"/>
        <w:spacing w:after="0" w:line="262" w:lineRule="auto"/>
        <w:tabs>
          <w:tab w:leader="none" w:pos="14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49" w:lineRule="exact"/>
        <w:rPr>
          <w:rFonts w:ascii="Times New Roman" w:cs="Times New Roman" w:eastAsia="Times New Roman" w:hAnsi="Times New Roman"/>
          <w:sz w:val="18"/>
          <w:szCs w:val="18"/>
          <w:b w:val="1"/>
          <w:bCs w:val="1"/>
          <w:color w:val="auto"/>
        </w:rPr>
      </w:pPr>
    </w:p>
    <w:p>
      <w:pPr>
        <w:ind w:left="320" w:firstLine="1404"/>
        <w:spacing w:after="0" w:line="286" w:lineRule="auto"/>
        <w:tabs>
          <w:tab w:leader="none" w:pos="196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Corporate Transaction:</w:t>
      </w:r>
    </w:p>
    <w:p>
      <w:pPr>
        <w:spacing w:after="0" w:line="141" w:lineRule="exact"/>
        <w:rPr>
          <w:sz w:val="20"/>
          <w:szCs w:val="20"/>
          <w:color w:val="auto"/>
        </w:rPr>
      </w:pPr>
    </w:p>
    <w:p>
      <w:pPr>
        <w:jc w:val="both"/>
        <w:ind w:left="220" w:right="20" w:firstLine="2111"/>
        <w:spacing w:after="0" w:line="259"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If the Corporate Transaction is also a Section 409A Change in Control then the Acquiring Entity may not assume,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66" w:lineRule="exact"/>
        <w:rPr>
          <w:sz w:val="20"/>
          <w:szCs w:val="20"/>
          <w:color w:val="auto"/>
        </w:rPr>
      </w:pPr>
    </w:p>
    <w:p>
      <w:pPr>
        <w:jc w:val="both"/>
        <w:ind w:left="220" w:firstLine="2111"/>
        <w:spacing w:after="0" w:line="257"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If the Corporate Transaction is not also a Section 409A Change in Control, then the Acquiring Entity must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0" w:name="page21"/>
    <w:bookmarkEnd w:id="20"/>
    <w:p>
      <w:pPr>
        <w:spacing w:after="0" w:line="200" w:lineRule="exact"/>
        <w:rPr>
          <w:sz w:val="20"/>
          <w:szCs w:val="20"/>
          <w:color w:val="auto"/>
        </w:rPr>
      </w:pPr>
    </w:p>
    <w:p>
      <w:pPr>
        <w:spacing w:after="0" w:line="260" w:lineRule="exact"/>
        <w:rPr>
          <w:sz w:val="20"/>
          <w:szCs w:val="20"/>
          <w:color w:val="auto"/>
        </w:rPr>
      </w:pPr>
    </w:p>
    <w:p>
      <w:pPr>
        <w:ind w:left="320" w:right="20" w:firstLine="140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(ii)Unvested Non-Exempt Awards. </w:t>
      </w:r>
      <w:r>
        <w:rPr>
          <w:rFonts w:ascii="Times New Roman" w:cs="Times New Roman" w:eastAsia="Times New Roman" w:hAnsi="Times New Roman"/>
          <w:sz w:val="18"/>
          <w:szCs w:val="18"/>
          <w:color w:val="auto"/>
        </w:rPr>
        <w:t>The following provisions shall apply to any Unvested Non-Exempt Award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determined by the Board pursuant to subsection (e) of this Section.</w:t>
      </w:r>
    </w:p>
    <w:p>
      <w:pPr>
        <w:spacing w:after="0" w:line="141" w:lineRule="exact"/>
        <w:rPr>
          <w:sz w:val="20"/>
          <w:szCs w:val="20"/>
          <w:color w:val="auto"/>
        </w:rPr>
      </w:pPr>
    </w:p>
    <w:p>
      <w:pPr>
        <w:jc w:val="both"/>
        <w:ind w:left="220" w:firstLine="2111"/>
        <w:spacing w:after="0" w:line="256"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In the event of a Corporate Transaction, the Acquiring Entity shall assume, continue or substitute any Unvested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3" w:lineRule="exact"/>
        <w:rPr>
          <w:sz w:val="20"/>
          <w:szCs w:val="20"/>
          <w:color w:val="auto"/>
        </w:rPr>
      </w:pPr>
    </w:p>
    <w:p>
      <w:pPr>
        <w:jc w:val="both"/>
        <w:ind w:left="220" w:firstLine="2111"/>
        <w:spacing w:after="0" w:line="255"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If the Acquiring Entity will not assume, substitute or continue any Unvested Non-Exempt Award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1" w:lineRule="exact"/>
        <w:rPr>
          <w:sz w:val="20"/>
          <w:szCs w:val="20"/>
          <w:color w:val="auto"/>
        </w:rPr>
      </w:pPr>
    </w:p>
    <w:p>
      <w:pPr>
        <w:ind w:left="220" w:right="20" w:firstLine="2111"/>
        <w:spacing w:after="0" w:line="28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The foregoing treatment shall apply with respect to all Unvested Non-Exempt Awards upon any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and regardless of whether or not such Corporate Transaction is also a Section 409A Change in Control.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1" w:name="page22"/>
    <w:bookmarkEnd w:id="21"/>
    <w:p>
      <w:pPr>
        <w:spacing w:after="0" w:line="200" w:lineRule="exact"/>
        <w:rPr>
          <w:sz w:val="20"/>
          <w:szCs w:val="20"/>
          <w:color w:val="auto"/>
        </w:rPr>
      </w:pPr>
    </w:p>
    <w:p>
      <w:pPr>
        <w:spacing w:after="0" w:line="246" w:lineRule="exact"/>
        <w:rPr>
          <w:sz w:val="20"/>
          <w:szCs w:val="20"/>
          <w:color w:val="auto"/>
        </w:rPr>
      </w:pPr>
    </w:p>
    <w:p>
      <w:pPr>
        <w:jc w:val="both"/>
        <w:ind w:left="220" w:firstLine="711"/>
        <w:spacing w:after="0" w:line="268" w:lineRule="auto"/>
        <w:tabs>
          <w:tab w:leader="none" w:pos="143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subsection (d) shall apply and shall supersede anything to the contrary that may be set forth in the Plan with respect to the permitted treatment of a Non-Exempt Director Award in connection with a Corporate Transaction.</w:t>
      </w:r>
    </w:p>
    <w:p>
      <w:pPr>
        <w:spacing w:after="0" w:line="161" w:lineRule="exact"/>
        <w:rPr>
          <w:rFonts w:ascii="Times New Roman" w:cs="Times New Roman" w:eastAsia="Times New Roman" w:hAnsi="Times New Roman"/>
          <w:sz w:val="18"/>
          <w:szCs w:val="18"/>
          <w:b w:val="1"/>
          <w:bCs w:val="1"/>
          <w:color w:val="auto"/>
        </w:rPr>
      </w:pPr>
    </w:p>
    <w:p>
      <w:pPr>
        <w:jc w:val="both"/>
        <w:ind w:left="320" w:firstLine="1404"/>
        <w:spacing w:after="0" w:line="258" w:lineRule="auto"/>
        <w:tabs>
          <w:tab w:leader="none" w:pos="1961"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56" w:lineRule="exact"/>
        <w:rPr>
          <w:rFonts w:ascii="Times New Roman" w:cs="Times New Roman" w:eastAsia="Times New Roman" w:hAnsi="Times New Roman"/>
          <w:sz w:val="18"/>
          <w:szCs w:val="18"/>
          <w:b w:val="1"/>
          <w:bCs w:val="1"/>
          <w:color w:val="auto"/>
        </w:rPr>
      </w:pPr>
    </w:p>
    <w:p>
      <w:pPr>
        <w:jc w:val="both"/>
        <w:ind w:left="320" w:firstLine="1404"/>
        <w:spacing w:after="0" w:line="254" w:lineRule="auto"/>
        <w:tabs>
          <w:tab w:leader="none" w:pos="1961"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78" w:lineRule="exact"/>
        <w:rPr>
          <w:rFonts w:ascii="Times New Roman" w:cs="Times New Roman" w:eastAsia="Times New Roman" w:hAnsi="Times New Roman"/>
          <w:sz w:val="18"/>
          <w:szCs w:val="18"/>
          <w:b w:val="1"/>
          <w:bCs w:val="1"/>
          <w:color w:val="auto"/>
        </w:rPr>
      </w:pPr>
    </w:p>
    <w:p>
      <w:pPr>
        <w:ind w:left="220" w:right="20" w:firstLine="711"/>
        <w:spacing w:after="0" w:line="282" w:lineRule="auto"/>
        <w:tabs>
          <w:tab w:leader="none" w:pos="143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48" w:lineRule="exact"/>
        <w:rPr>
          <w:rFonts w:ascii="Times New Roman" w:cs="Times New Roman" w:eastAsia="Times New Roman" w:hAnsi="Times New Roman"/>
          <w:sz w:val="18"/>
          <w:szCs w:val="18"/>
          <w:b w:val="1"/>
          <w:bCs w:val="1"/>
          <w:color w:val="auto"/>
        </w:rPr>
      </w:pPr>
    </w:p>
    <w:p>
      <w:pPr>
        <w:jc w:val="both"/>
        <w:ind w:left="320" w:right="20" w:firstLine="1405"/>
        <w:spacing w:after="0" w:line="266" w:lineRule="auto"/>
        <w:tabs>
          <w:tab w:leader="none" w:pos="1961"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48" w:lineRule="exact"/>
        <w:rPr>
          <w:rFonts w:ascii="Times New Roman" w:cs="Times New Roman" w:eastAsia="Times New Roman" w:hAnsi="Times New Roman"/>
          <w:sz w:val="18"/>
          <w:szCs w:val="18"/>
          <w:b w:val="1"/>
          <w:bCs w:val="1"/>
          <w:color w:val="auto"/>
        </w:rPr>
      </w:pPr>
    </w:p>
    <w:p>
      <w:pPr>
        <w:jc w:val="both"/>
        <w:ind w:left="320" w:right="20" w:firstLine="1405"/>
        <w:spacing w:after="0" w:line="266" w:lineRule="auto"/>
        <w:tabs>
          <w:tab w:leader="none" w:pos="1961"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37" w:lineRule="exact"/>
        <w:rPr>
          <w:sz w:val="20"/>
          <w:szCs w:val="20"/>
          <w:color w:val="auto"/>
        </w:rPr>
      </w:pPr>
    </w:p>
    <w:p>
      <w:pPr>
        <w:jc w:val="both"/>
        <w:ind w:left="320" w:firstLine="1408"/>
        <w:spacing w:after="0" w:line="254"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To the extent the terms of any Non-Exempt Award provide that it will be settled upon a Change in Control or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7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The provisions in this subsection (e) for delivery of the shares in respect of the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2" w:name="page23"/>
    <w:bookmarkEnd w:id="22"/>
    <w:p>
      <w:pPr>
        <w:spacing w:after="0" w:line="200" w:lineRule="exact"/>
        <w:rPr>
          <w:sz w:val="20"/>
          <w:szCs w:val="20"/>
          <w:color w:val="auto"/>
        </w:rPr>
      </w:pPr>
    </w:p>
    <w:p>
      <w:pPr>
        <w:spacing w:after="0" w:line="250"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45" w:lineRule="exact"/>
        <w:rPr>
          <w:sz w:val="20"/>
          <w:szCs w:val="20"/>
          <w:color w:val="auto"/>
        </w:rPr>
      </w:pPr>
    </w:p>
    <w:p>
      <w:pPr>
        <w:ind w:left="940" w:hanging="712"/>
        <w:spacing w:after="0"/>
        <w:tabs>
          <w:tab w:leader="none" w:pos="9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both"/>
        <w:ind w:left="240" w:firstLine="704"/>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2" w:lineRule="exact"/>
        <w:rPr>
          <w:sz w:val="20"/>
          <w:szCs w:val="20"/>
          <w:color w:val="auto"/>
        </w:rPr>
      </w:pPr>
    </w:p>
    <w:p>
      <w:pPr>
        <w:ind w:left="940" w:hanging="712"/>
        <w:spacing w:after="0"/>
        <w:tabs>
          <w:tab w:leader="none" w:pos="9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ind w:left="240" w:firstLine="704"/>
        <w:spacing w:after="0" w:line="266"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239" w:lineRule="exact"/>
        <w:rPr>
          <w:sz w:val="20"/>
          <w:szCs w:val="20"/>
          <w:color w:val="auto"/>
        </w:rPr>
      </w:pPr>
    </w:p>
    <w:p>
      <w:pPr>
        <w:ind w:left="940" w:hanging="712"/>
        <w:spacing w:after="0"/>
        <w:tabs>
          <w:tab w:leader="none" w:pos="9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1440" w:hanging="509"/>
        <w:spacing w:after="0"/>
        <w:tabs>
          <w:tab w:leader="none" w:pos="14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w:t>
      </w:r>
    </w:p>
    <w:p>
      <w:pPr>
        <w:spacing w:after="0" w:line="31" w:lineRule="exact"/>
        <w:rPr>
          <w:rFonts w:ascii="Times New Roman" w:cs="Times New Roman" w:eastAsia="Times New Roman" w:hAnsi="Times New Roman"/>
          <w:sz w:val="18"/>
          <w:szCs w:val="18"/>
          <w:b w:val="1"/>
          <w:bCs w:val="1"/>
          <w:color w:val="auto"/>
        </w:rPr>
      </w:pPr>
    </w:p>
    <w:p>
      <w:pPr>
        <w:ind w:left="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189"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11" w:lineRule="exact"/>
        <w:rPr>
          <w:rFonts w:ascii="Times New Roman" w:cs="Times New Roman" w:eastAsia="Times New Roman" w:hAnsi="Times New Roman"/>
          <w:sz w:val="18"/>
          <w:szCs w:val="18"/>
          <w:b w:val="1"/>
          <w:bCs w:val="1"/>
          <w:color w:val="auto"/>
        </w:rPr>
      </w:pPr>
    </w:p>
    <w:p>
      <w:pPr>
        <w:jc w:val="both"/>
        <w:ind w:left="220" w:firstLine="711"/>
        <w:spacing w:after="0" w:line="268" w:lineRule="auto"/>
        <w:tabs>
          <w:tab w:leader="none" w:pos="14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57" w:lineRule="exact"/>
        <w:rPr>
          <w:rFonts w:ascii="Times New Roman" w:cs="Times New Roman" w:eastAsia="Times New Roman" w:hAnsi="Times New Roman"/>
          <w:sz w:val="18"/>
          <w:szCs w:val="18"/>
          <w:b w:val="1"/>
          <w:bCs w:val="1"/>
          <w:color w:val="auto"/>
        </w:rPr>
      </w:pPr>
    </w:p>
    <w:p>
      <w:pPr>
        <w:jc w:val="both"/>
        <w:ind w:left="220" w:firstLine="711"/>
        <w:spacing w:after="0" w:line="259" w:lineRule="auto"/>
        <w:tabs>
          <w:tab w:leader="none" w:pos="14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65" w:lineRule="exact"/>
        <w:rPr>
          <w:rFonts w:ascii="Times New Roman" w:cs="Times New Roman" w:eastAsia="Times New Roman" w:hAnsi="Times New Roman"/>
          <w:sz w:val="18"/>
          <w:szCs w:val="18"/>
          <w:b w:val="1"/>
          <w:bCs w:val="1"/>
          <w:color w:val="auto"/>
        </w:rPr>
      </w:pPr>
    </w:p>
    <w:p>
      <w:pPr>
        <w:ind w:left="220" w:right="20" w:firstLine="711"/>
        <w:spacing w:after="0" w:line="286" w:lineRule="auto"/>
        <w:tabs>
          <w:tab w:leader="none" w:pos="14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27" w:lineRule="exact"/>
        <w:rPr>
          <w:rFonts w:ascii="Times New Roman" w:cs="Times New Roman" w:eastAsia="Times New Roman" w:hAnsi="Times New Roman"/>
          <w:sz w:val="18"/>
          <w:szCs w:val="18"/>
          <w:b w:val="1"/>
          <w:bCs w:val="1"/>
          <w:color w:val="auto"/>
        </w:rPr>
      </w:pPr>
    </w:p>
    <w:p>
      <w:pPr>
        <w:jc w:val="both"/>
        <w:ind w:left="220" w:firstLine="711"/>
        <w:spacing w:after="0" w:line="262" w:lineRule="auto"/>
        <w:tabs>
          <w:tab w:leader="none" w:pos="14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3" w:name="page24"/>
    <w:bookmarkEnd w:id="23"/>
    <w:p>
      <w:pPr>
        <w:spacing w:after="0" w:line="200" w:lineRule="exact"/>
        <w:rPr>
          <w:sz w:val="20"/>
          <w:szCs w:val="20"/>
          <w:color w:val="auto"/>
        </w:rPr>
      </w:pPr>
    </w:p>
    <w:p>
      <w:pPr>
        <w:spacing w:after="0" w:line="246" w:lineRule="exact"/>
        <w:rPr>
          <w:sz w:val="20"/>
          <w:szCs w:val="20"/>
          <w:color w:val="auto"/>
        </w:rPr>
      </w:pPr>
    </w:p>
    <w:p>
      <w:pPr>
        <w:jc w:val="both"/>
        <w:ind w:left="220" w:firstLine="711"/>
        <w:spacing w:after="0" w:line="268" w:lineRule="auto"/>
        <w:tabs>
          <w:tab w:leader="none" w:pos="14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57" w:lineRule="exact"/>
        <w:rPr>
          <w:rFonts w:ascii="Times New Roman" w:cs="Times New Roman" w:eastAsia="Times New Roman" w:hAnsi="Times New Roman"/>
          <w:sz w:val="18"/>
          <w:szCs w:val="18"/>
          <w:b w:val="1"/>
          <w:bCs w:val="1"/>
          <w:color w:val="auto"/>
        </w:rPr>
      </w:pPr>
    </w:p>
    <w:p>
      <w:pPr>
        <w:jc w:val="both"/>
        <w:ind w:left="220" w:firstLine="711"/>
        <w:spacing w:after="0" w:line="256" w:lineRule="auto"/>
        <w:tabs>
          <w:tab w:leader="none" w:pos="14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5" w:lineRule="exact"/>
        <w:rPr>
          <w:rFonts w:ascii="Times New Roman" w:cs="Times New Roman" w:eastAsia="Times New Roman" w:hAnsi="Times New Roman"/>
          <w:sz w:val="18"/>
          <w:szCs w:val="18"/>
          <w:b w:val="1"/>
          <w:bCs w:val="1"/>
          <w:color w:val="auto"/>
        </w:rPr>
      </w:pPr>
    </w:p>
    <w:p>
      <w:pPr>
        <w:jc w:val="both"/>
        <w:ind w:left="220" w:firstLine="711"/>
        <w:spacing w:after="0" w:line="253" w:lineRule="auto"/>
        <w:tabs>
          <w:tab w:leader="none" w:pos="14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58" w:lineRule="exact"/>
        <w:rPr>
          <w:rFonts w:ascii="Times New Roman" w:cs="Times New Roman" w:eastAsia="Times New Roman" w:hAnsi="Times New Roman"/>
          <w:sz w:val="18"/>
          <w:szCs w:val="18"/>
          <w:b w:val="1"/>
          <w:bCs w:val="1"/>
          <w:color w:val="auto"/>
        </w:rPr>
      </w:pPr>
    </w:p>
    <w:p>
      <w:pPr>
        <w:ind w:left="220" w:firstLine="711"/>
        <w:spacing w:after="0" w:line="286" w:lineRule="auto"/>
        <w:tabs>
          <w:tab w:leader="none" w:pos="14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145" w:lineRule="exact"/>
        <w:rPr>
          <w:rFonts w:ascii="Times New Roman" w:cs="Times New Roman" w:eastAsia="Times New Roman" w:hAnsi="Times New Roman"/>
          <w:sz w:val="18"/>
          <w:szCs w:val="18"/>
          <w:b w:val="1"/>
          <w:bCs w:val="1"/>
          <w:color w:val="auto"/>
        </w:rPr>
      </w:pPr>
    </w:p>
    <w:p>
      <w:pPr>
        <w:jc w:val="both"/>
        <w:ind w:left="320" w:firstLine="1404"/>
        <w:spacing w:after="0" w:line="253" w:lineRule="auto"/>
        <w:tabs>
          <w:tab w:leader="none" w:pos="1961"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4" w:name="page25"/>
    <w:bookmarkEnd w:id="24"/>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shall be deemed to occur;</w:t>
      </w:r>
    </w:p>
    <w:p>
      <w:pPr>
        <w:spacing w:after="0" w:line="198" w:lineRule="exact"/>
        <w:rPr>
          <w:sz w:val="20"/>
          <w:szCs w:val="20"/>
          <w:color w:val="auto"/>
        </w:rPr>
      </w:pPr>
    </w:p>
    <w:p>
      <w:pPr>
        <w:jc w:val="both"/>
        <w:ind w:left="320" w:firstLine="1404"/>
        <w:spacing w:after="0" w:line="256" w:lineRule="auto"/>
        <w:tabs>
          <w:tab w:leader="none" w:pos="196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60" w:lineRule="exact"/>
        <w:rPr>
          <w:rFonts w:ascii="Times New Roman" w:cs="Times New Roman" w:eastAsia="Times New Roman" w:hAnsi="Times New Roman"/>
          <w:sz w:val="18"/>
          <w:szCs w:val="18"/>
          <w:b w:val="1"/>
          <w:bCs w:val="1"/>
          <w:color w:val="auto"/>
        </w:rPr>
      </w:pPr>
    </w:p>
    <w:p>
      <w:pPr>
        <w:jc w:val="both"/>
        <w:ind w:left="320" w:firstLine="1404"/>
        <w:spacing w:after="0" w:line="258" w:lineRule="auto"/>
        <w:tabs>
          <w:tab w:leader="none" w:pos="206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66" w:lineRule="exact"/>
        <w:rPr>
          <w:sz w:val="20"/>
          <w:szCs w:val="20"/>
          <w:color w:val="auto"/>
        </w:rPr>
      </w:pPr>
    </w:p>
    <w:p>
      <w:pPr>
        <w:jc w:val="both"/>
        <w:ind w:left="320" w:firstLine="1408"/>
        <w:spacing w:after="0" w:line="262"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67" w:lineRule="exact"/>
        <w:rPr>
          <w:sz w:val="20"/>
          <w:szCs w:val="20"/>
          <w:color w:val="auto"/>
        </w:rPr>
      </w:pPr>
    </w:p>
    <w:p>
      <w:pPr>
        <w:jc w:val="both"/>
        <w:ind w:left="240" w:firstLine="704"/>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58" w:lineRule="exact"/>
        <w:rPr>
          <w:sz w:val="20"/>
          <w:szCs w:val="20"/>
          <w:color w:val="auto"/>
        </w:rPr>
      </w:pPr>
    </w:p>
    <w:p>
      <w:pPr>
        <w:ind w:left="1440" w:hanging="509"/>
        <w:spacing w:after="0"/>
        <w:tabs>
          <w:tab w:leader="none" w:pos="14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11" w:lineRule="exact"/>
        <w:rPr>
          <w:rFonts w:ascii="Times New Roman" w:cs="Times New Roman" w:eastAsia="Times New Roman" w:hAnsi="Times New Roman"/>
          <w:sz w:val="18"/>
          <w:szCs w:val="18"/>
          <w:b w:val="1"/>
          <w:bCs w:val="1"/>
          <w:color w:val="auto"/>
        </w:rPr>
      </w:pPr>
    </w:p>
    <w:p>
      <w:pPr>
        <w:ind w:left="220" w:firstLine="711"/>
        <w:spacing w:after="0" w:line="286" w:lineRule="auto"/>
        <w:tabs>
          <w:tab w:leader="none" w:pos="143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41" w:lineRule="exact"/>
        <w:rPr>
          <w:rFonts w:ascii="Times New Roman" w:cs="Times New Roman" w:eastAsia="Times New Roman" w:hAnsi="Times New Roman"/>
          <w:sz w:val="18"/>
          <w:szCs w:val="18"/>
          <w:b w:val="1"/>
          <w:bCs w:val="1"/>
          <w:color w:val="auto"/>
        </w:rPr>
      </w:pPr>
    </w:p>
    <w:p>
      <w:pPr>
        <w:ind w:left="1660" w:hanging="714"/>
        <w:spacing w:after="0"/>
        <w:tabs>
          <w:tab w:leader="none" w:pos="166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660" w:hanging="714"/>
        <w:spacing w:after="0"/>
        <w:tabs>
          <w:tab w:leader="none" w:pos="166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Acrivon Therapeutics, Inc., a Delaware corporation.</w:t>
      </w:r>
    </w:p>
    <w:p>
      <w:pPr>
        <w:spacing w:after="0" w:line="225" w:lineRule="exact"/>
        <w:rPr>
          <w:rFonts w:ascii="Times New Roman" w:cs="Times New Roman" w:eastAsia="Times New Roman" w:hAnsi="Times New Roman"/>
          <w:sz w:val="18"/>
          <w:szCs w:val="18"/>
          <w:b w:val="1"/>
          <w:bCs w:val="1"/>
          <w:color w:val="auto"/>
        </w:rPr>
      </w:pPr>
    </w:p>
    <w:p>
      <w:pPr>
        <w:ind w:left="1660" w:hanging="714"/>
        <w:spacing w:after="0"/>
        <w:tabs>
          <w:tab w:leader="none" w:pos="166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jc w:val="both"/>
        <w:ind w:left="220" w:firstLine="711"/>
        <w:spacing w:after="0" w:line="268" w:lineRule="auto"/>
        <w:tabs>
          <w:tab w:leader="none" w:pos="143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5" w:name="page26"/>
    <w:bookmarkEnd w:id="25"/>
    <w:p>
      <w:pPr>
        <w:spacing w:after="0" w:line="248" w:lineRule="exact"/>
        <w:rPr>
          <w:sz w:val="20"/>
          <w:szCs w:val="20"/>
          <w:color w:val="auto"/>
        </w:rPr>
      </w:pPr>
    </w:p>
    <w:p>
      <w:pPr>
        <w:ind w:left="220"/>
        <w:spacing w:after="0" w:line="282" w:lineRule="auto"/>
        <w:rPr>
          <w:sz w:val="20"/>
          <w:szCs w:val="20"/>
          <w:color w:val="auto"/>
        </w:rPr>
      </w:pPr>
      <w:r>
        <w:rPr>
          <w:rFonts w:ascii="Times New Roman" w:cs="Times New Roman" w:eastAsia="Times New Roman" w:hAnsi="Times New Roman"/>
          <w:sz w:val="18"/>
          <w:szCs w:val="18"/>
          <w:color w:val="auto"/>
        </w:rPr>
        <w:t>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1" w:lineRule="exact"/>
        <w:rPr>
          <w:sz w:val="20"/>
          <w:szCs w:val="20"/>
          <w:color w:val="auto"/>
        </w:rPr>
      </w:pPr>
    </w:p>
    <w:p>
      <w:pPr>
        <w:jc w:val="both"/>
        <w:ind w:left="220" w:firstLine="711"/>
        <w:spacing w:after="0" w:line="253" w:lineRule="auto"/>
        <w:tabs>
          <w:tab w:leader="none" w:pos="14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56" w:lineRule="exact"/>
        <w:rPr>
          <w:rFonts w:ascii="Times New Roman" w:cs="Times New Roman" w:eastAsia="Times New Roman" w:hAnsi="Times New Roman"/>
          <w:sz w:val="18"/>
          <w:szCs w:val="18"/>
          <w:b w:val="1"/>
          <w:bCs w:val="1"/>
          <w:color w:val="auto"/>
        </w:rPr>
      </w:pPr>
    </w:p>
    <w:p>
      <w:pPr>
        <w:ind w:left="220" w:right="20" w:firstLine="711"/>
        <w:spacing w:after="0" w:line="286" w:lineRule="auto"/>
        <w:tabs>
          <w:tab w:leader="none" w:pos="14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45" w:lineRule="exact"/>
        <w:rPr>
          <w:rFonts w:ascii="Times New Roman" w:cs="Times New Roman" w:eastAsia="Times New Roman" w:hAnsi="Times New Roman"/>
          <w:sz w:val="18"/>
          <w:szCs w:val="18"/>
          <w:b w:val="1"/>
          <w:bCs w:val="1"/>
          <w:color w:val="auto"/>
        </w:rPr>
      </w:pPr>
    </w:p>
    <w:p>
      <w:pPr>
        <w:ind w:left="1960" w:hanging="236"/>
        <w:spacing w:after="0"/>
        <w:tabs>
          <w:tab w:leader="none" w:pos="196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w:t>
      </w:r>
    </w:p>
    <w:p>
      <w:pPr>
        <w:spacing w:after="0" w:line="2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its Subsidiaries;</w:t>
      </w:r>
    </w:p>
    <w:p>
      <w:pPr>
        <w:spacing w:after="0" w:line="193" w:lineRule="exact"/>
        <w:rPr>
          <w:rFonts w:ascii="Times New Roman" w:cs="Times New Roman" w:eastAsia="Times New Roman" w:hAnsi="Times New Roman"/>
          <w:sz w:val="18"/>
          <w:szCs w:val="18"/>
          <w:b w:val="1"/>
          <w:bCs w:val="1"/>
          <w:color w:val="auto"/>
        </w:rPr>
      </w:pPr>
    </w:p>
    <w:p>
      <w:pPr>
        <w:ind w:left="2420" w:hanging="695"/>
        <w:spacing w:after="0"/>
        <w:tabs>
          <w:tab w:leader="none" w:pos="242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Company;</w:t>
      </w:r>
    </w:p>
    <w:p>
      <w:pPr>
        <w:spacing w:after="0" w:line="2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12" w:lineRule="exact"/>
        <w:rPr>
          <w:sz w:val="20"/>
          <w:szCs w:val="20"/>
          <w:color w:val="auto"/>
        </w:rPr>
      </w:pPr>
    </w:p>
    <w:p>
      <w:pPr>
        <w:jc w:val="both"/>
        <w:ind w:left="320" w:right="20" w:firstLine="1408"/>
        <w:spacing w:after="0" w:line="268"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a merger, consolidation or similar transaction following which the Company is the surviving corporation but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8" w:lineRule="exact"/>
        <w:rPr>
          <w:sz w:val="20"/>
          <w:szCs w:val="20"/>
          <w:color w:val="auto"/>
        </w:rPr>
      </w:pPr>
    </w:p>
    <w:p>
      <w:pPr>
        <w:jc w:val="both"/>
        <w:ind w:left="240" w:firstLine="704"/>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6" w:name="page27"/>
    <w:bookmarkEnd w:id="26"/>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409A of the Code.</w:t>
      </w:r>
    </w:p>
    <w:p>
      <w:pPr>
        <w:spacing w:after="0" w:line="194" w:lineRule="exact"/>
        <w:rPr>
          <w:sz w:val="20"/>
          <w:szCs w:val="20"/>
          <w:color w:val="auto"/>
        </w:rPr>
      </w:pPr>
    </w:p>
    <w:p>
      <w:pPr>
        <w:ind w:left="1660" w:hanging="714"/>
        <w:spacing w:after="0"/>
        <w:tabs>
          <w:tab w:leader="none" w:pos="166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11" w:lineRule="exact"/>
        <w:rPr>
          <w:rFonts w:ascii="Times New Roman" w:cs="Times New Roman" w:eastAsia="Times New Roman" w:hAnsi="Times New Roman"/>
          <w:sz w:val="18"/>
          <w:szCs w:val="18"/>
          <w:b w:val="1"/>
          <w:bCs w:val="1"/>
          <w:color w:val="auto"/>
        </w:rPr>
      </w:pPr>
    </w:p>
    <w:p>
      <w:pPr>
        <w:jc w:val="both"/>
        <w:ind w:left="220" w:firstLine="711"/>
        <w:spacing w:after="0" w:line="262" w:lineRule="auto"/>
        <w:tabs>
          <w:tab w:leader="none" w:pos="14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41" w:lineRule="exact"/>
        <w:rPr>
          <w:rFonts w:ascii="Times New Roman" w:cs="Times New Roman" w:eastAsia="Times New Roman" w:hAnsi="Times New Roman"/>
          <w:sz w:val="18"/>
          <w:szCs w:val="18"/>
          <w:b w:val="1"/>
          <w:bCs w:val="1"/>
          <w:color w:val="auto"/>
        </w:rPr>
      </w:pPr>
    </w:p>
    <w:p>
      <w:pPr>
        <w:ind w:left="220" w:right="20" w:firstLine="711"/>
        <w:spacing w:after="0" w:line="286" w:lineRule="auto"/>
        <w:tabs>
          <w:tab w:leader="none" w:pos="149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that this Plan is approved by the Company’s stockholders prior to the IPO Date.</w:t>
      </w:r>
    </w:p>
    <w:p>
      <w:pPr>
        <w:spacing w:after="0" w:line="141" w:lineRule="exact"/>
        <w:rPr>
          <w:rFonts w:ascii="Times New Roman" w:cs="Times New Roman" w:eastAsia="Times New Roman" w:hAnsi="Times New Roman"/>
          <w:sz w:val="18"/>
          <w:szCs w:val="18"/>
          <w:b w:val="1"/>
          <w:bCs w:val="1"/>
          <w:color w:val="auto"/>
        </w:rPr>
      </w:pPr>
    </w:p>
    <w:p>
      <w:pPr>
        <w:ind w:left="220" w:right="20" w:firstLine="711"/>
        <w:spacing w:after="0" w:line="286" w:lineRule="auto"/>
        <w:tabs>
          <w:tab w:leader="none" w:pos="14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41"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11" w:lineRule="exact"/>
        <w:rPr>
          <w:rFonts w:ascii="Times New Roman" w:cs="Times New Roman" w:eastAsia="Times New Roman" w:hAnsi="Times New Roman"/>
          <w:sz w:val="18"/>
          <w:szCs w:val="18"/>
          <w:b w:val="1"/>
          <w:bCs w:val="1"/>
          <w:color w:val="auto"/>
        </w:rPr>
      </w:pPr>
    </w:p>
    <w:p>
      <w:pPr>
        <w:ind w:left="1640" w:hanging="709"/>
        <w:spacing w:after="0"/>
        <w:tabs>
          <w:tab w:leader="none" w:pos="1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1440" w:hanging="509"/>
        <w:spacing w:after="0"/>
        <w:tabs>
          <w:tab w:leader="none" w:pos="14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98" w:lineRule="exact"/>
        <w:rPr>
          <w:rFonts w:ascii="Times New Roman" w:cs="Times New Roman" w:eastAsia="Times New Roman" w:hAnsi="Times New Roman"/>
          <w:sz w:val="18"/>
          <w:szCs w:val="18"/>
          <w:b w:val="1"/>
          <w:bCs w:val="1"/>
          <w:color w:val="auto"/>
        </w:rPr>
      </w:pPr>
    </w:p>
    <w:p>
      <w:pPr>
        <w:jc w:val="both"/>
        <w:ind w:left="240" w:firstLine="697"/>
        <w:spacing w:after="0" w:line="255" w:lineRule="auto"/>
        <w:tabs>
          <w:tab w:leader="none" w:pos="133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1" w:lineRule="exact"/>
        <w:rPr>
          <w:rFonts w:ascii="Times New Roman" w:cs="Times New Roman" w:eastAsia="Times New Roman" w:hAnsi="Times New Roman"/>
          <w:sz w:val="18"/>
          <w:szCs w:val="18"/>
          <w:b w:val="1"/>
          <w:bCs w:val="1"/>
          <w:color w:val="auto"/>
        </w:rPr>
      </w:pPr>
    </w:p>
    <w:p>
      <w:pPr>
        <w:ind w:left="240" w:firstLine="697"/>
        <w:spacing w:after="0" w:line="286" w:lineRule="auto"/>
        <w:tabs>
          <w:tab w:leader="none" w:pos="140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31" w:lineRule="exact"/>
        <w:rPr>
          <w:rFonts w:ascii="Times New Roman" w:cs="Times New Roman" w:eastAsia="Times New Roman" w:hAnsi="Times New Roman"/>
          <w:sz w:val="18"/>
          <w:szCs w:val="18"/>
          <w:b w:val="1"/>
          <w:bCs w:val="1"/>
          <w:color w:val="auto"/>
        </w:rPr>
      </w:pPr>
    </w:p>
    <w:p>
      <w:pPr>
        <w:jc w:val="both"/>
        <w:ind w:left="320" w:firstLine="1404"/>
        <w:spacing w:after="0" w:line="266" w:lineRule="auto"/>
        <w:tabs>
          <w:tab w:leader="none" w:pos="1961"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62" w:lineRule="exact"/>
        <w:rPr>
          <w:rFonts w:ascii="Times New Roman" w:cs="Times New Roman" w:eastAsia="Times New Roman" w:hAnsi="Times New Roman"/>
          <w:sz w:val="18"/>
          <w:szCs w:val="18"/>
          <w:b w:val="1"/>
          <w:bCs w:val="1"/>
          <w:color w:val="auto"/>
        </w:rPr>
      </w:pPr>
    </w:p>
    <w:p>
      <w:pPr>
        <w:ind w:left="320" w:right="20" w:firstLine="1405"/>
        <w:spacing w:after="0" w:line="282" w:lineRule="auto"/>
        <w:tabs>
          <w:tab w:leader="none" w:pos="1961"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44" w:lineRule="exact"/>
        <w:rPr>
          <w:sz w:val="20"/>
          <w:szCs w:val="20"/>
          <w:color w:val="auto"/>
        </w:rPr>
      </w:pPr>
    </w:p>
    <w:p>
      <w:pPr>
        <w:ind w:left="320" w:right="20" w:firstLine="1408"/>
        <w:spacing w:after="0" w:line="286"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In the absence of such markets for the Common Stock, or if otherwise determined by the Board, the Fair Market Value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determined by the Board in good faith and in a manner that complies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970280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7" w:name="page28"/>
    <w:bookmarkEnd w:id="27"/>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with Sections 409A and 422 of the Code.</w:t>
      </w:r>
    </w:p>
    <w:p>
      <w:pPr>
        <w:spacing w:after="0" w:line="208" w:lineRule="exact"/>
        <w:rPr>
          <w:sz w:val="20"/>
          <w:szCs w:val="20"/>
          <w:color w:val="auto"/>
        </w:rPr>
      </w:pPr>
    </w:p>
    <w:p>
      <w:pPr>
        <w:ind w:left="240" w:right="60" w:firstLine="696"/>
        <w:spacing w:after="0" w:line="286" w:lineRule="auto"/>
        <w:tabs>
          <w:tab w:leader="none" w:pos="1268"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“Fully Diluted Stock” </w:t>
      </w:r>
      <w:r>
        <w:rPr>
          <w:rFonts w:ascii="Times New Roman" w:cs="Times New Roman" w:eastAsia="Times New Roman" w:hAnsi="Times New Roman"/>
          <w:sz w:val="18"/>
          <w:szCs w:val="18"/>
          <w:color w:val="auto"/>
        </w:rPr>
        <w:t>means the total number of Common Stock outstanding plus the number of shares of Common Stock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issuable upon the exercise of any outstanding Pre-funded Warrants.</w:t>
      </w:r>
    </w:p>
    <w:p>
      <w:pPr>
        <w:spacing w:after="0" w:line="141" w:lineRule="exact"/>
        <w:rPr>
          <w:rFonts w:ascii="Times New Roman" w:cs="Times New Roman" w:eastAsia="Times New Roman" w:hAnsi="Times New Roman"/>
          <w:sz w:val="18"/>
          <w:szCs w:val="18"/>
          <w:b w:val="1"/>
          <w:bCs w:val="1"/>
          <w:color w:val="auto"/>
        </w:rPr>
      </w:pPr>
    </w:p>
    <w:p>
      <w:pPr>
        <w:jc w:val="both"/>
        <w:ind w:left="240" w:right="60" w:firstLine="696"/>
        <w:spacing w:after="0" w:line="257" w:lineRule="auto"/>
        <w:tabs>
          <w:tab w:leader="none" w:pos="1663"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68" w:lineRule="exact"/>
        <w:rPr>
          <w:rFonts w:ascii="Times New Roman" w:cs="Times New Roman" w:eastAsia="Times New Roman" w:hAnsi="Times New Roman"/>
          <w:sz w:val="18"/>
          <w:szCs w:val="18"/>
          <w:b w:val="1"/>
          <w:bCs w:val="1"/>
          <w:color w:val="auto"/>
        </w:rPr>
      </w:pPr>
    </w:p>
    <w:p>
      <w:pPr>
        <w:jc w:val="both"/>
        <w:ind w:left="240" w:right="60" w:firstLine="697"/>
        <w:spacing w:after="0" w:line="268" w:lineRule="auto"/>
        <w:tabs>
          <w:tab w:leader="none" w:pos="1354"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43" w:lineRule="exact"/>
        <w:rPr>
          <w:rFonts w:ascii="Times New Roman" w:cs="Times New Roman" w:eastAsia="Times New Roman" w:hAnsi="Times New Roman"/>
          <w:sz w:val="18"/>
          <w:szCs w:val="18"/>
          <w:b w:val="1"/>
          <w:bCs w:val="1"/>
          <w:color w:val="auto"/>
        </w:rPr>
      </w:pPr>
    </w:p>
    <w:p>
      <w:pPr>
        <w:ind w:left="240" w:right="60" w:firstLine="697"/>
        <w:spacing w:after="0" w:line="286" w:lineRule="auto"/>
        <w:tabs>
          <w:tab w:leader="none" w:pos="1314"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41" w:lineRule="exact"/>
        <w:rPr>
          <w:rFonts w:ascii="Times New Roman" w:cs="Times New Roman" w:eastAsia="Times New Roman" w:hAnsi="Times New Roman"/>
          <w:sz w:val="18"/>
          <w:szCs w:val="18"/>
          <w:b w:val="1"/>
          <w:bCs w:val="1"/>
          <w:color w:val="auto"/>
        </w:rPr>
      </w:pPr>
    </w:p>
    <w:p>
      <w:pPr>
        <w:ind w:left="240" w:right="60" w:firstLine="697"/>
        <w:spacing w:after="0" w:line="286" w:lineRule="auto"/>
        <w:tabs>
          <w:tab w:leader="none" w:pos="1334"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41" w:lineRule="exact"/>
        <w:rPr>
          <w:rFonts w:ascii="Times New Roman" w:cs="Times New Roman" w:eastAsia="Times New Roman" w:hAnsi="Times New Roman"/>
          <w:sz w:val="18"/>
          <w:szCs w:val="18"/>
          <w:b w:val="1"/>
          <w:bCs w:val="1"/>
          <w:color w:val="auto"/>
        </w:rPr>
      </w:pPr>
    </w:p>
    <w:p>
      <w:pPr>
        <w:jc w:val="both"/>
        <w:ind w:left="240" w:right="60" w:firstLine="697"/>
        <w:spacing w:after="0" w:line="254" w:lineRule="auto"/>
        <w:tabs>
          <w:tab w:leader="none" w:pos="1309"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61" w:lineRule="exact"/>
        <w:rPr>
          <w:rFonts w:ascii="Times New Roman" w:cs="Times New Roman" w:eastAsia="Times New Roman" w:hAnsi="Times New Roman"/>
          <w:sz w:val="18"/>
          <w:szCs w:val="18"/>
          <w:b w:val="1"/>
          <w:bCs w:val="1"/>
          <w:color w:val="auto"/>
        </w:rPr>
      </w:pPr>
    </w:p>
    <w:p>
      <w:pPr>
        <w:jc w:val="both"/>
        <w:ind w:left="240" w:right="60" w:firstLine="697"/>
        <w:spacing w:after="0" w:line="257" w:lineRule="auto"/>
        <w:tabs>
          <w:tab w:leader="none" w:pos="1208"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68" w:lineRule="exact"/>
        <w:rPr>
          <w:rFonts w:ascii="Times New Roman" w:cs="Times New Roman" w:eastAsia="Times New Roman" w:hAnsi="Times New Roman"/>
          <w:sz w:val="18"/>
          <w:szCs w:val="18"/>
          <w:b w:val="1"/>
          <w:bCs w:val="1"/>
          <w:color w:val="auto"/>
        </w:rPr>
      </w:pPr>
    </w:p>
    <w:p>
      <w:pPr>
        <w:jc w:val="both"/>
        <w:ind w:left="200" w:firstLine="369"/>
        <w:spacing w:after="0" w:line="268" w:lineRule="auto"/>
        <w:tabs>
          <w:tab w:leader="none" w:pos="9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440" w:right="539" w:bottom="1440" w:gutter="0" w:footer="0" w:header="0"/>
        </w:sectPr>
      </w:pPr>
    </w:p>
    <w:bookmarkStart w:id="28" w:name="page29"/>
    <w:bookmarkEnd w:id="28"/>
    <w:p>
      <w:pPr>
        <w:spacing w:after="0" w:line="200" w:lineRule="exact"/>
        <w:rPr>
          <w:sz w:val="20"/>
          <w:szCs w:val="20"/>
          <w:color w:val="auto"/>
        </w:rPr>
      </w:pPr>
    </w:p>
    <w:p>
      <w:pPr>
        <w:spacing w:after="0" w:line="246" w:lineRule="exact"/>
        <w:rPr>
          <w:sz w:val="20"/>
          <w:szCs w:val="20"/>
          <w:color w:val="auto"/>
        </w:rPr>
      </w:pPr>
    </w:p>
    <w:p>
      <w:pPr>
        <w:ind w:left="240" w:right="20" w:firstLine="697"/>
        <w:spacing w:after="0" w:line="286" w:lineRule="auto"/>
        <w:tabs>
          <w:tab w:leader="none" w:pos="136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41" w:lineRule="exact"/>
        <w:rPr>
          <w:rFonts w:ascii="Times New Roman" w:cs="Times New Roman" w:eastAsia="Times New Roman" w:hAnsi="Times New Roman"/>
          <w:sz w:val="18"/>
          <w:szCs w:val="18"/>
          <w:b w:val="1"/>
          <w:bCs w:val="1"/>
          <w:color w:val="auto"/>
        </w:rPr>
      </w:pPr>
    </w:p>
    <w:p>
      <w:pPr>
        <w:jc w:val="both"/>
        <w:ind w:left="240" w:firstLine="699"/>
        <w:spacing w:after="0" w:line="259" w:lineRule="auto"/>
        <w:tabs>
          <w:tab w:leader="none" w:pos="124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65" w:lineRule="exact"/>
        <w:rPr>
          <w:rFonts w:ascii="Times New Roman" w:cs="Times New Roman" w:eastAsia="Times New Roman" w:hAnsi="Times New Roman"/>
          <w:sz w:val="18"/>
          <w:szCs w:val="18"/>
          <w:b w:val="1"/>
          <w:bCs w:val="1"/>
          <w:color w:val="auto"/>
        </w:rPr>
      </w:pPr>
    </w:p>
    <w:p>
      <w:pPr>
        <w:ind w:left="1480" w:hanging="543"/>
        <w:spacing w:after="0"/>
        <w:tabs>
          <w:tab w:leader="none" w:pos="14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w:t>
      </w:r>
    </w:p>
    <w:p>
      <w:pPr>
        <w:spacing w:after="0" w:line="3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w:t>
      </w:r>
    </w:p>
    <w:p>
      <w:pPr>
        <w:spacing w:after="0" w:line="189" w:lineRule="exact"/>
        <w:rPr>
          <w:rFonts w:ascii="Times New Roman" w:cs="Times New Roman" w:eastAsia="Times New Roman" w:hAnsi="Times New Roman"/>
          <w:sz w:val="18"/>
          <w:szCs w:val="18"/>
          <w:b w:val="1"/>
          <w:bCs w:val="1"/>
          <w:color w:val="auto"/>
        </w:rPr>
      </w:pPr>
    </w:p>
    <w:p>
      <w:pPr>
        <w:ind w:left="1300" w:hanging="363"/>
        <w:spacing w:after="0"/>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98" w:lineRule="exact"/>
        <w:rPr>
          <w:rFonts w:ascii="Times New Roman" w:cs="Times New Roman" w:eastAsia="Times New Roman" w:hAnsi="Times New Roman"/>
          <w:sz w:val="18"/>
          <w:szCs w:val="18"/>
          <w:b w:val="1"/>
          <w:bCs w:val="1"/>
          <w:color w:val="auto"/>
        </w:rPr>
      </w:pPr>
    </w:p>
    <w:p>
      <w:pPr>
        <w:ind w:left="1280" w:hanging="343"/>
        <w:spacing w:after="0"/>
        <w:tabs>
          <w:tab w:leader="none" w:pos="1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w:t>
      </w:r>
    </w:p>
    <w:p>
      <w:pPr>
        <w:spacing w:after="0" w:line="3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w:t>
      </w:r>
    </w:p>
    <w:p>
      <w:pPr>
        <w:spacing w:after="0" w:line="189" w:lineRule="exact"/>
        <w:rPr>
          <w:rFonts w:ascii="Times New Roman" w:cs="Times New Roman" w:eastAsia="Times New Roman" w:hAnsi="Times New Roman"/>
          <w:sz w:val="18"/>
          <w:szCs w:val="18"/>
          <w:b w:val="1"/>
          <w:bCs w:val="1"/>
          <w:color w:val="auto"/>
        </w:rPr>
      </w:pPr>
    </w:p>
    <w:p>
      <w:pPr>
        <w:jc w:val="both"/>
        <w:ind w:left="240" w:firstLine="697"/>
        <w:spacing w:after="0" w:line="262" w:lineRule="auto"/>
        <w:tabs>
          <w:tab w:leader="none" w:pos="135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62" w:lineRule="exact"/>
        <w:rPr>
          <w:rFonts w:ascii="Times New Roman" w:cs="Times New Roman" w:eastAsia="Times New Roman" w:hAnsi="Times New Roman"/>
          <w:sz w:val="18"/>
          <w:szCs w:val="18"/>
          <w:b w:val="1"/>
          <w:bCs w:val="1"/>
          <w:color w:val="auto"/>
        </w:rPr>
      </w:pPr>
    </w:p>
    <w:p>
      <w:pPr>
        <w:ind w:left="240" w:right="20" w:firstLine="697"/>
        <w:spacing w:after="0" w:line="286" w:lineRule="auto"/>
        <w:tabs>
          <w:tab w:leader="none" w:pos="135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41" w:lineRule="exact"/>
        <w:rPr>
          <w:rFonts w:ascii="Times New Roman" w:cs="Times New Roman" w:eastAsia="Times New Roman" w:hAnsi="Times New Roman"/>
          <w:sz w:val="18"/>
          <w:szCs w:val="18"/>
          <w:b w:val="1"/>
          <w:bCs w:val="1"/>
          <w:color w:val="auto"/>
        </w:rPr>
      </w:pPr>
    </w:p>
    <w:p>
      <w:pPr>
        <w:jc w:val="both"/>
        <w:ind w:left="240" w:firstLine="697"/>
        <w:spacing w:after="0" w:line="268" w:lineRule="auto"/>
        <w:tabs>
          <w:tab w:leader="none" w:pos="1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43" w:lineRule="exact"/>
        <w:rPr>
          <w:rFonts w:ascii="Times New Roman" w:cs="Times New Roman" w:eastAsia="Times New Roman" w:hAnsi="Times New Roman"/>
          <w:sz w:val="18"/>
          <w:szCs w:val="18"/>
          <w:b w:val="1"/>
          <w:bCs w:val="1"/>
          <w:color w:val="auto"/>
        </w:rPr>
      </w:pPr>
    </w:p>
    <w:p>
      <w:pPr>
        <w:jc w:val="both"/>
        <w:ind w:left="240" w:firstLine="697"/>
        <w:spacing w:after="0" w:line="286" w:lineRule="auto"/>
        <w:tabs>
          <w:tab w:leader="none" w:pos="136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41" w:lineRule="exact"/>
        <w:rPr>
          <w:rFonts w:ascii="Times New Roman" w:cs="Times New Roman" w:eastAsia="Times New Roman" w:hAnsi="Times New Roman"/>
          <w:sz w:val="18"/>
          <w:szCs w:val="18"/>
          <w:b w:val="1"/>
          <w:bCs w:val="1"/>
          <w:color w:val="auto"/>
        </w:rPr>
      </w:pPr>
    </w:p>
    <w:p>
      <w:pPr>
        <w:jc w:val="both"/>
        <w:ind w:left="240" w:firstLine="699"/>
        <w:spacing w:after="0" w:line="262" w:lineRule="auto"/>
        <w:tabs>
          <w:tab w:leader="none" w:pos="131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2" w:lineRule="exact"/>
        <w:rPr>
          <w:rFonts w:ascii="Times New Roman" w:cs="Times New Roman" w:eastAsia="Times New Roman" w:hAnsi="Times New Roman"/>
          <w:sz w:val="18"/>
          <w:szCs w:val="18"/>
          <w:b w:val="1"/>
          <w:bCs w:val="1"/>
          <w:color w:val="auto"/>
        </w:rPr>
      </w:pPr>
    </w:p>
    <w:p>
      <w:pPr>
        <w:ind w:left="240" w:firstLine="699"/>
        <w:spacing w:after="0" w:line="286" w:lineRule="auto"/>
        <w:tabs>
          <w:tab w:leader="none" w:pos="135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41" w:lineRule="exact"/>
        <w:rPr>
          <w:rFonts w:ascii="Times New Roman" w:cs="Times New Roman" w:eastAsia="Times New Roman" w:hAnsi="Times New Roman"/>
          <w:sz w:val="18"/>
          <w:szCs w:val="18"/>
          <w:b w:val="1"/>
          <w:bCs w:val="1"/>
          <w:color w:val="auto"/>
        </w:rPr>
      </w:pPr>
    </w:p>
    <w:p>
      <w:pPr>
        <w:jc w:val="both"/>
        <w:ind w:left="240" w:firstLine="699"/>
        <w:spacing w:after="0" w:line="262" w:lineRule="auto"/>
        <w:tabs>
          <w:tab w:leader="none" w:pos="133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29" w:name="page30"/>
    <w:bookmarkEnd w:id="29"/>
    <w:p>
      <w:pPr>
        <w:spacing w:after="0" w:line="200" w:lineRule="exact"/>
        <w:rPr>
          <w:sz w:val="20"/>
          <w:szCs w:val="20"/>
          <w:color w:val="auto"/>
        </w:rPr>
      </w:pPr>
    </w:p>
    <w:p>
      <w:pPr>
        <w:spacing w:after="0" w:line="250" w:lineRule="exact"/>
        <w:rPr>
          <w:sz w:val="20"/>
          <w:szCs w:val="20"/>
          <w:color w:val="auto"/>
        </w:rPr>
      </w:pPr>
    </w:p>
    <w:p>
      <w:pPr>
        <w:ind w:left="240"/>
        <w:spacing w:after="0" w:line="282" w:lineRule="auto"/>
        <w:rPr>
          <w:sz w:val="20"/>
          <w:szCs w:val="20"/>
          <w:color w:val="auto"/>
        </w:rPr>
      </w:pPr>
      <w:r>
        <w:rPr>
          <w:rFonts w:ascii="Times New Roman" w:cs="Times New Roman" w:eastAsia="Times New Roman" w:hAnsi="Times New Roman"/>
          <w:sz w:val="18"/>
          <w:szCs w:val="18"/>
          <w:color w:val="auto"/>
        </w:rPr>
        <w:t>Performance Awards. Performance Awards that are settled in cash or other property are not required to be valued in whole or in part by reference to, or otherwise based on, the Common Stock.</w:t>
      </w:r>
    </w:p>
    <w:p>
      <w:pPr>
        <w:spacing w:after="0" w:line="131" w:lineRule="exact"/>
        <w:rPr>
          <w:sz w:val="20"/>
          <w:szCs w:val="20"/>
          <w:color w:val="auto"/>
        </w:rPr>
      </w:pPr>
    </w:p>
    <w:p>
      <w:pPr>
        <w:jc w:val="both"/>
        <w:ind w:left="240" w:firstLine="699"/>
        <w:spacing w:after="0" w:line="252" w:lineRule="auto"/>
        <w:tabs>
          <w:tab w:leader="none" w:pos="167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67" w:lineRule="exact"/>
        <w:rPr>
          <w:rFonts w:ascii="Times New Roman" w:cs="Times New Roman" w:eastAsia="Times New Roman" w:hAnsi="Times New Roman"/>
          <w:sz w:val="18"/>
          <w:szCs w:val="18"/>
          <w:b w:val="1"/>
          <w:bCs w:val="1"/>
          <w:color w:val="auto"/>
        </w:rPr>
      </w:pPr>
    </w:p>
    <w:p>
      <w:pPr>
        <w:jc w:val="both"/>
        <w:ind w:left="240" w:firstLine="697"/>
        <w:spacing w:after="0" w:line="254" w:lineRule="auto"/>
        <w:tabs>
          <w:tab w:leader="none" w:pos="1302"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w:t>
      </w:r>
    </w:p>
    <w:p>
      <w:pPr>
        <w:jc w:val="both"/>
        <w:ind w:left="240" w:hanging="7"/>
        <w:spacing w:after="0" w:line="252" w:lineRule="auto"/>
        <w:tabs>
          <w:tab w:leader="none" w:pos="4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30" w:name="page31"/>
    <w:bookmarkEnd w:id="30"/>
    <w:p>
      <w:pPr>
        <w:spacing w:after="0" w:line="261"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58" w:lineRule="exact"/>
        <w:rPr>
          <w:sz w:val="20"/>
          <w:szCs w:val="20"/>
          <w:color w:val="auto"/>
        </w:rPr>
      </w:pPr>
    </w:p>
    <w:p>
      <w:pPr>
        <w:jc w:val="both"/>
        <w:ind w:left="240" w:right="20" w:firstLine="697"/>
        <w:spacing w:after="0" w:line="268" w:lineRule="auto"/>
        <w:tabs>
          <w:tab w:leader="none" w:pos="1289"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43" w:lineRule="exact"/>
        <w:rPr>
          <w:rFonts w:ascii="Times New Roman" w:cs="Times New Roman" w:eastAsia="Times New Roman" w:hAnsi="Times New Roman"/>
          <w:sz w:val="18"/>
          <w:szCs w:val="18"/>
          <w:b w:val="1"/>
          <w:bCs w:val="1"/>
          <w:color w:val="auto"/>
        </w:rPr>
      </w:pPr>
    </w:p>
    <w:p>
      <w:pPr>
        <w:ind w:left="1300" w:hanging="361"/>
        <w:spacing w:after="0"/>
        <w:tabs>
          <w:tab w:leader="none" w:pos="130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Acrivon Therapeutics, Inc. Amended and Restated 2022 Equity Incentive Plan, as amended from time to time.</w:t>
      </w:r>
    </w:p>
    <w:p>
      <w:pPr>
        <w:spacing w:after="0" w:line="211" w:lineRule="exact"/>
        <w:rPr>
          <w:rFonts w:ascii="Times New Roman" w:cs="Times New Roman" w:eastAsia="Times New Roman" w:hAnsi="Times New Roman"/>
          <w:sz w:val="18"/>
          <w:szCs w:val="18"/>
          <w:b w:val="1"/>
          <w:bCs w:val="1"/>
          <w:color w:val="auto"/>
        </w:rPr>
      </w:pPr>
    </w:p>
    <w:p>
      <w:pPr>
        <w:ind w:left="240" w:firstLine="699"/>
        <w:spacing w:after="0" w:line="286" w:lineRule="auto"/>
        <w:tabs>
          <w:tab w:leader="none" w:pos="1378"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41" w:lineRule="exact"/>
        <w:rPr>
          <w:rFonts w:ascii="Times New Roman" w:cs="Times New Roman" w:eastAsia="Times New Roman" w:hAnsi="Times New Roman"/>
          <w:sz w:val="18"/>
          <w:szCs w:val="18"/>
          <w:b w:val="1"/>
          <w:bCs w:val="1"/>
          <w:color w:val="auto"/>
        </w:rPr>
      </w:pPr>
    </w:p>
    <w:p>
      <w:pPr>
        <w:ind w:left="240" w:firstLine="699"/>
        <w:spacing w:after="0" w:line="286" w:lineRule="auto"/>
        <w:tabs>
          <w:tab w:leader="none" w:pos="1409"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41" w:lineRule="exact"/>
        <w:rPr>
          <w:rFonts w:ascii="Times New Roman" w:cs="Times New Roman" w:eastAsia="Times New Roman" w:hAnsi="Times New Roman"/>
          <w:sz w:val="18"/>
          <w:szCs w:val="18"/>
          <w:b w:val="1"/>
          <w:bCs w:val="1"/>
          <w:color w:val="auto"/>
        </w:rPr>
      </w:pPr>
    </w:p>
    <w:p>
      <w:pPr>
        <w:jc w:val="both"/>
        <w:ind w:left="240" w:right="20" w:firstLine="744"/>
        <w:spacing w:after="0" w:line="263" w:lineRule="auto"/>
        <w:tabs>
          <w:tab w:leader="none" w:pos="1393" w:val="left"/>
        </w:tabs>
        <w:numPr>
          <w:ilvl w:val="3"/>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Pre-funded Warrant</w:t>
      </w:r>
      <w:r>
        <w:rPr>
          <w:rFonts w:ascii="Times New Roman" w:cs="Times New Roman" w:eastAsia="Times New Roman" w:hAnsi="Times New Roman"/>
          <w:sz w:val="18"/>
          <w:szCs w:val="18"/>
          <w:color w:val="auto"/>
        </w:rPr>
        <w:t>” means a warrant or other right to purchase Common Stock held by a party, which warrant or other right (i) has a nominal exercise price, (ii) was, except for such nominal exercise price, pre-funded at the time of grant, (iii) is not subject to forfeiture, and</w:t>
      </w:r>
    </w:p>
    <w:p>
      <w:pPr>
        <w:ind w:left="540" w:hanging="305"/>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or may not be subject to beneficial ownership limitation provisions.</w:t>
      </w:r>
    </w:p>
    <w:p>
      <w:pPr>
        <w:spacing w:after="0" w:line="189" w:lineRule="exact"/>
        <w:rPr>
          <w:rFonts w:ascii="Times New Roman" w:cs="Times New Roman" w:eastAsia="Times New Roman" w:hAnsi="Times New Roman"/>
          <w:sz w:val="18"/>
          <w:szCs w:val="18"/>
          <w:color w:val="auto"/>
        </w:rPr>
      </w:pPr>
    </w:p>
    <w:p>
      <w:pPr>
        <w:ind w:left="1400" w:hanging="463"/>
        <w:spacing w:after="0"/>
        <w:tabs>
          <w:tab w:leader="none" w:pos="140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Acrivon Therapeutics, Inc. 2019 Stock Incentive Plan.</w:t>
      </w:r>
    </w:p>
    <w:p>
      <w:pPr>
        <w:spacing w:after="0" w:line="225" w:lineRule="exact"/>
        <w:rPr>
          <w:rFonts w:ascii="Times New Roman" w:cs="Times New Roman" w:eastAsia="Times New Roman" w:hAnsi="Times New Roman"/>
          <w:sz w:val="18"/>
          <w:szCs w:val="18"/>
          <w:b w:val="1"/>
          <w:bCs w:val="1"/>
          <w:color w:val="auto"/>
        </w:rPr>
      </w:pPr>
    </w:p>
    <w:p>
      <w:pPr>
        <w:ind w:left="1340" w:hanging="403"/>
        <w:spacing w:after="0"/>
        <w:tabs>
          <w:tab w:leader="none" w:pos="134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the</w:t>
      </w:r>
    </w:p>
    <w:p>
      <w:pPr>
        <w:spacing w:after="0" w:line="3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Date.</w:t>
      </w:r>
    </w:p>
    <w:p>
      <w:pPr>
        <w:spacing w:after="0" w:line="189" w:lineRule="exact"/>
        <w:rPr>
          <w:rFonts w:ascii="Times New Roman" w:cs="Times New Roman" w:eastAsia="Times New Roman" w:hAnsi="Times New Roman"/>
          <w:sz w:val="18"/>
          <w:szCs w:val="18"/>
          <w:b w:val="1"/>
          <w:bCs w:val="1"/>
          <w:color w:val="auto"/>
        </w:rPr>
      </w:pPr>
    </w:p>
    <w:p>
      <w:pPr>
        <w:ind w:left="240" w:firstLine="697"/>
        <w:spacing w:after="0" w:line="286" w:lineRule="auto"/>
        <w:tabs>
          <w:tab w:leader="none" w:pos="1315"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41" w:lineRule="exact"/>
        <w:rPr>
          <w:rFonts w:ascii="Times New Roman" w:cs="Times New Roman" w:eastAsia="Times New Roman" w:hAnsi="Times New Roman"/>
          <w:sz w:val="18"/>
          <w:szCs w:val="18"/>
          <w:b w:val="1"/>
          <w:bCs w:val="1"/>
          <w:color w:val="auto"/>
        </w:rPr>
      </w:pPr>
    </w:p>
    <w:p>
      <w:pPr>
        <w:jc w:val="both"/>
        <w:ind w:left="240" w:firstLine="697"/>
        <w:spacing w:after="0" w:line="259" w:lineRule="auto"/>
        <w:tabs>
          <w:tab w:leader="none" w:pos="1378"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52" w:lineRule="exact"/>
        <w:rPr>
          <w:rFonts w:ascii="Times New Roman" w:cs="Times New Roman" w:eastAsia="Times New Roman" w:hAnsi="Times New Roman"/>
          <w:sz w:val="18"/>
          <w:szCs w:val="18"/>
          <w:b w:val="1"/>
          <w:bCs w:val="1"/>
          <w:color w:val="auto"/>
        </w:rPr>
      </w:pPr>
    </w:p>
    <w:p>
      <w:pPr>
        <w:jc w:val="both"/>
        <w:ind w:left="240" w:firstLine="697"/>
        <w:spacing w:after="0" w:line="259" w:lineRule="auto"/>
        <w:tabs>
          <w:tab w:leader="none" w:pos="1521"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65" w:lineRule="exact"/>
        <w:rPr>
          <w:rFonts w:ascii="Times New Roman" w:cs="Times New Roman" w:eastAsia="Times New Roman" w:hAnsi="Times New Roman"/>
          <w:sz w:val="18"/>
          <w:szCs w:val="18"/>
          <w:b w:val="1"/>
          <w:bCs w:val="1"/>
          <w:color w:val="auto"/>
        </w:rPr>
      </w:pPr>
    </w:p>
    <w:p>
      <w:pPr>
        <w:ind w:left="240" w:right="20" w:firstLine="697"/>
        <w:spacing w:after="0" w:line="286" w:lineRule="auto"/>
        <w:tabs>
          <w:tab w:leader="none" w:pos="125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31" w:name="page32"/>
    <w:bookmarkEnd w:id="31"/>
    <w:p>
      <w:pPr>
        <w:spacing w:after="0" w:line="200" w:lineRule="exact"/>
        <w:rPr>
          <w:sz w:val="20"/>
          <w:szCs w:val="20"/>
          <w:color w:val="auto"/>
        </w:rPr>
      </w:pPr>
    </w:p>
    <w:p>
      <w:pPr>
        <w:spacing w:after="0" w:line="246" w:lineRule="exact"/>
        <w:rPr>
          <w:sz w:val="20"/>
          <w:szCs w:val="20"/>
          <w:color w:val="auto"/>
        </w:rPr>
      </w:pPr>
    </w:p>
    <w:p>
      <w:pPr>
        <w:jc w:val="both"/>
        <w:ind w:left="240" w:firstLine="697"/>
        <w:spacing w:after="0" w:line="262" w:lineRule="auto"/>
        <w:tabs>
          <w:tab w:leader="none" w:pos="1288"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62" w:lineRule="exact"/>
        <w:rPr>
          <w:rFonts w:ascii="Times New Roman" w:cs="Times New Roman" w:eastAsia="Times New Roman" w:hAnsi="Times New Roman"/>
          <w:sz w:val="18"/>
          <w:szCs w:val="18"/>
          <w:b w:val="1"/>
          <w:bCs w:val="1"/>
          <w:color w:val="auto"/>
        </w:rPr>
      </w:pPr>
    </w:p>
    <w:p>
      <w:pPr>
        <w:ind w:left="1400" w:hanging="463"/>
        <w:spacing w:after="0"/>
        <w:tabs>
          <w:tab w:leader="none" w:pos="1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w:t>
      </w:r>
    </w:p>
    <w:p>
      <w:pPr>
        <w:spacing w:after="0" w:line="189" w:lineRule="exact"/>
        <w:rPr>
          <w:rFonts w:ascii="Times New Roman" w:cs="Times New Roman" w:eastAsia="Times New Roman" w:hAnsi="Times New Roman"/>
          <w:sz w:val="18"/>
          <w:szCs w:val="18"/>
          <w:b w:val="1"/>
          <w:bCs w:val="1"/>
          <w:color w:val="auto"/>
        </w:rPr>
      </w:pPr>
    </w:p>
    <w:p>
      <w:pPr>
        <w:ind w:left="1300" w:hanging="363"/>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1560" w:hanging="623"/>
        <w:spacing w:after="0"/>
        <w:tabs>
          <w:tab w:leader="none" w:pos="15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11" w:lineRule="exact"/>
        <w:rPr>
          <w:rFonts w:ascii="Times New Roman" w:cs="Times New Roman" w:eastAsia="Times New Roman" w:hAnsi="Times New Roman"/>
          <w:sz w:val="18"/>
          <w:szCs w:val="18"/>
          <w:b w:val="1"/>
          <w:bCs w:val="1"/>
          <w:color w:val="auto"/>
        </w:rPr>
      </w:pPr>
    </w:p>
    <w:p>
      <w:pPr>
        <w:jc w:val="both"/>
        <w:ind w:left="240" w:firstLine="697"/>
        <w:spacing w:after="0" w:line="268" w:lineRule="auto"/>
        <w:tabs>
          <w:tab w:leader="none" w:pos="166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57" w:lineRule="exact"/>
        <w:rPr>
          <w:rFonts w:ascii="Times New Roman" w:cs="Times New Roman" w:eastAsia="Times New Roman" w:hAnsi="Times New Roman"/>
          <w:sz w:val="18"/>
          <w:szCs w:val="18"/>
          <w:b w:val="1"/>
          <w:bCs w:val="1"/>
          <w:color w:val="auto"/>
        </w:rPr>
      </w:pPr>
    </w:p>
    <w:p>
      <w:pPr>
        <w:ind w:left="1420" w:hanging="481"/>
        <w:spacing w:after="0"/>
        <w:tabs>
          <w:tab w:leader="none" w:pos="14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400" w:hanging="463"/>
        <w:spacing w:after="0"/>
        <w:tabs>
          <w:tab w:leader="none" w:pos="1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11" w:lineRule="exact"/>
        <w:rPr>
          <w:rFonts w:ascii="Times New Roman" w:cs="Times New Roman" w:eastAsia="Times New Roman" w:hAnsi="Times New Roman"/>
          <w:sz w:val="18"/>
          <w:szCs w:val="18"/>
          <w:b w:val="1"/>
          <w:bCs w:val="1"/>
          <w:color w:val="auto"/>
        </w:rPr>
      </w:pPr>
    </w:p>
    <w:p>
      <w:pPr>
        <w:ind w:left="240" w:firstLine="697"/>
        <w:spacing w:after="0" w:line="286" w:lineRule="auto"/>
        <w:tabs>
          <w:tab w:leader="none" w:pos="14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41" w:lineRule="exact"/>
        <w:rPr>
          <w:rFonts w:ascii="Times New Roman" w:cs="Times New Roman" w:eastAsia="Times New Roman" w:hAnsi="Times New Roman"/>
          <w:sz w:val="18"/>
          <w:szCs w:val="18"/>
          <w:b w:val="1"/>
          <w:bCs w:val="1"/>
          <w:color w:val="auto"/>
        </w:rPr>
      </w:pPr>
    </w:p>
    <w:p>
      <w:pPr>
        <w:jc w:val="both"/>
        <w:ind w:left="240" w:firstLine="697"/>
        <w:spacing w:after="0" w:line="262" w:lineRule="auto"/>
        <w:tabs>
          <w:tab w:leader="none" w:pos="1348"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62" w:lineRule="exact"/>
        <w:rPr>
          <w:rFonts w:ascii="Times New Roman" w:cs="Times New Roman" w:eastAsia="Times New Roman" w:hAnsi="Times New Roman"/>
          <w:sz w:val="18"/>
          <w:szCs w:val="18"/>
          <w:b w:val="1"/>
          <w:bCs w:val="1"/>
          <w:color w:val="auto"/>
        </w:rPr>
      </w:pPr>
    </w:p>
    <w:p>
      <w:pPr>
        <w:jc w:val="both"/>
        <w:ind w:left="240" w:firstLine="697"/>
        <w:spacing w:after="0" w:line="259" w:lineRule="auto"/>
        <w:tabs>
          <w:tab w:leader="none" w:pos="133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52" w:lineRule="exact"/>
        <w:rPr>
          <w:rFonts w:ascii="Times New Roman" w:cs="Times New Roman" w:eastAsia="Times New Roman" w:hAnsi="Times New Roman"/>
          <w:sz w:val="18"/>
          <w:szCs w:val="18"/>
          <w:b w:val="1"/>
          <w:bCs w:val="1"/>
          <w:color w:val="auto"/>
        </w:rPr>
      </w:pPr>
    </w:p>
    <w:p>
      <w:pPr>
        <w:ind w:left="240" w:right="20" w:firstLine="697"/>
        <w:spacing w:after="0" w:line="286" w:lineRule="auto"/>
        <w:tabs>
          <w:tab w:leader="none" w:pos="131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41" w:lineRule="exact"/>
        <w:rPr>
          <w:rFonts w:ascii="Times New Roman" w:cs="Times New Roman" w:eastAsia="Times New Roman" w:hAnsi="Times New Roman"/>
          <w:sz w:val="18"/>
          <w:szCs w:val="18"/>
          <w:b w:val="1"/>
          <w:bCs w:val="1"/>
          <w:color w:val="auto"/>
        </w:rPr>
      </w:pPr>
    </w:p>
    <w:p>
      <w:pPr>
        <w:ind w:left="240" w:firstLine="699"/>
        <w:spacing w:after="0" w:line="286" w:lineRule="auto"/>
        <w:tabs>
          <w:tab w:leader="none" w:pos="14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41" w:lineRule="exact"/>
        <w:rPr>
          <w:rFonts w:ascii="Times New Roman" w:cs="Times New Roman" w:eastAsia="Times New Roman" w:hAnsi="Times New Roman"/>
          <w:sz w:val="18"/>
          <w:szCs w:val="18"/>
          <w:b w:val="1"/>
          <w:bCs w:val="1"/>
          <w:color w:val="auto"/>
        </w:rPr>
      </w:pPr>
    </w:p>
    <w:p>
      <w:pPr>
        <w:ind w:left="1420" w:hanging="481"/>
        <w:spacing w:after="0"/>
        <w:tabs>
          <w:tab w:leader="none" w:pos="14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40" w:right="599" w:bottom="1440" w:gutter="0" w:footer="0" w:header="0"/>
        </w:sectPr>
      </w:pPr>
    </w:p>
    <w:bookmarkStart w:id="32" w:name="page33"/>
    <w:bookmarkEnd w:id="32"/>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vested in accordance with its terms upon or prior to the date of any Corporate Transaction.</w:t>
      </w:r>
    </w:p>
    <w:p>
      <w:pPr>
        <w:spacing w:after="0" w:line="208" w:lineRule="exact"/>
        <w:rPr>
          <w:sz w:val="20"/>
          <w:szCs w:val="20"/>
          <w:color w:val="auto"/>
        </w:rPr>
      </w:pPr>
    </w:p>
    <w:p>
      <w:pPr>
        <w:ind w:left="240" w:firstLine="699"/>
        <w:spacing w:after="0" w:line="286" w:lineRule="auto"/>
        <w:tabs>
          <w:tab w:leader="none" w:pos="1678"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prior to the date of a Corporate Transaction.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961390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00" w:top="1440" w:right="61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
    </w:lvl>
    <w:lvl w:ilvl="1">
      <w:lvlJc w:val="left"/>
      <w:lvlText w:val="(%2)"/>
      <w:numFmt w:val="lowerRoman"/>
      <w:start w:val="5"/>
    </w:lvl>
    <w:lvl w:ilvl="2">
      <w:lvlJc w:val="left"/>
      <w:lvlText w:val="(%3)"/>
      <w:numFmt w:val="lowerLetter"/>
      <w:start w:val="1"/>
    </w:lvl>
  </w:abstractNum>
  <w:abstractNum w:abstractNumId="2">
    <w:nsid w:val="813864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abstractNum>
  <w:abstractNum w:abstractNumId="3">
    <w:nsid w:val="1E7FF521"/>
    <w:multiLevelType w:val="hybridMultilevel"/>
    <w:lvl w:ilvl="0">
      <w:lvlJc w:val="left"/>
      <w:lvlText w:val="%1."/>
      <w:numFmt w:val="decimal"/>
      <w:start w:val="2"/>
    </w:lvl>
    <w:lvl w:ilvl="1">
      <w:lvlJc w:val="left"/>
      <w:lvlText w:val="(%2)"/>
      <w:numFmt w:val="lowerLetter"/>
      <w:start w:val="1"/>
    </w:lvl>
  </w:abstractNum>
  <w:abstractNum w:abstractNumId="4">
    <w:nsid w:val="7C3DBD3D"/>
    <w:multiLevelType w:val="hybridMultilevel"/>
    <w:lvl w:ilvl="0">
      <w:lvlJc w:val="left"/>
      <w:lvlText w:val="(%1)"/>
      <w:numFmt w:val="lowerLetter"/>
      <w:start w:val="3"/>
    </w:lvl>
    <w:lvl w:ilvl="1">
      <w:lvlJc w:val="left"/>
      <w:lvlText w:val="(%2)"/>
      <w:numFmt w:val="lowerLetter"/>
      <w:start w:val="9"/>
    </w:lvl>
  </w:abstractNum>
  <w:abstractNum w:abstractNumId="5">
    <w:nsid w:val="737B8DD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6">
    <w:nsid w:val="6CEAF087"/>
    <w:multiLevelType w:val="hybridMultilevel"/>
    <w:lvl w:ilvl="0">
      <w:lvlJc w:val="left"/>
      <w:lvlText w:val="(%1)"/>
      <w:numFmt w:val="lowerLetter"/>
      <w:start w:val="3"/>
    </w:lvl>
  </w:abstractNum>
  <w:abstractNum w:abstractNumId="7">
    <w:nsid w:val="22221A70"/>
    <w:multiLevelType w:val="hybridMultilevel"/>
    <w:lvl w:ilvl="0">
      <w:lvlJc w:val="left"/>
      <w:lvlText w:val="%1."/>
      <w:numFmt w:val="decimal"/>
      <w:start w:val="4"/>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Roman"/>
      <w:start w:val="1"/>
    </w:lvl>
  </w:abstractNum>
  <w:abstractNum w:abstractNumId="10">
    <w:nsid w:val="614FD4A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3"/>
    </w:lvl>
    <w:lvl w:ilvl="3">
      <w:lvlJc w:val="left"/>
      <w:lvlText w:val="(%4)"/>
      <w:numFmt w:val="lowerLetter"/>
      <w:start w:val="22"/>
    </w:lvl>
  </w:abstractNum>
  <w:abstractNum w:abstractNumId="11">
    <w:nsid w:val="419AC24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lvl w:ilvl="3">
      <w:lvlJc w:val="left"/>
      <w:lvlText w:val="(%4)"/>
      <w:numFmt w:val="lowerLetter"/>
      <w:start w:val="9"/>
    </w:lvl>
  </w:abstractNum>
  <w:abstractNum w:abstractNumId="12">
    <w:nsid w:val="5577F8E1"/>
    <w:multiLevelType w:val="hybridMultilevel"/>
    <w:lvl w:ilvl="0">
      <w:lvlJc w:val="left"/>
      <w:lvlText w:val="(%1)"/>
      <w:numFmt w:val="lowerLetter"/>
      <w:start w:val="6"/>
    </w:lvl>
    <w:lvl w:ilvl="1">
      <w:lvlJc w:val="left"/>
      <w:lvlText w:val="(%2)"/>
      <w:numFmt w:val="lowerRoman"/>
      <w:start w:val="1"/>
    </w:lvl>
  </w:abstractNum>
  <w:abstractNum w:abstractNumId="13">
    <w:nsid w:val="440BADFC"/>
    <w:multiLevelType w:val="hybridMultilevel"/>
    <w:lvl w:ilvl="0">
      <w:lvlJc w:val="left"/>
      <w:lvlText w:val="(%1)"/>
      <w:numFmt w:val="lowerRoman"/>
      <w:start w:val="1"/>
    </w:lvl>
  </w:abstractNum>
  <w:abstractNum w:abstractNumId="14">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lvl w:ilvl="3">
      <w:lvlJc w:val="left"/>
      <w:lvlText w:val="%4"/>
      <w:numFmt w:val="lowerLetter"/>
      <w:start w:val="1"/>
    </w:lvl>
  </w:abstractNum>
  <w:abstractNum w:abstractNumId="15">
    <w:nsid w:val="3804823E"/>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1"/>
    </w:lvl>
    <w:lvl w:ilvl="3">
      <w:lvlJc w:val="left"/>
      <w:lvlText w:val="%4"/>
      <w:numFmt w:val="lowerLetter"/>
      <w:start w:val="1"/>
    </w:lvl>
  </w:abstractNum>
  <w:abstractNum w:abstractNumId="16">
    <w:nsid w:val="77465F0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7">
    <w:nsid w:val="7724C67E"/>
    <w:multiLevelType w:val="hybridMultilevel"/>
    <w:lvl w:ilvl="0">
      <w:lvlJc w:val="left"/>
      <w:lvlText w:val="(%1)"/>
      <w:numFmt w:val="lowerRoman"/>
      <w:start w:val="2"/>
    </w:lvl>
  </w:abstractNum>
  <w:abstractNum w:abstractNumId="18">
    <w:nsid w:val="5C482A97"/>
    <w:multiLevelType w:val="hybridMultilevel"/>
    <w:lvl w:ilvl="0">
      <w:lvlJc w:val="left"/>
      <w:lvlText w:val="(%1)"/>
      <w:numFmt w:val="lowerLetter"/>
      <w:start w:val="2"/>
    </w:lvl>
  </w:abstractNum>
  <w:abstractNum w:abstractNumId="19">
    <w:nsid w:val="2463B9E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0">
    <w:nsid w:val="5E884ADC"/>
    <w:multiLevelType w:val="hybridMultilevel"/>
    <w:lvl w:ilvl="0">
      <w:lvlJc w:val="left"/>
      <w:lvlText w:val="(%1)"/>
      <w:numFmt w:val="lowerLetter"/>
      <w:start w:val="4"/>
    </w:lvl>
  </w:abstractNum>
  <w:abstractNum w:abstractNumId="21">
    <w:nsid w:val="51EAD36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
    <w:nsid w:val="2D517796"/>
    <w:multiLevelType w:val="hybridMultilevel"/>
    <w:lvl w:ilvl="0">
      <w:lvlJc w:val="left"/>
      <w:lvlText w:val="(%1)"/>
      <w:numFmt w:val="lowerRoman"/>
      <w:start w:val="5"/>
    </w:lvl>
  </w:abstractNum>
  <w:abstractNum w:abstractNumId="23">
    <w:nsid w:val="580BD78F"/>
    <w:multiLevelType w:val="hybridMultilevel"/>
    <w:lvl w:ilvl="0">
      <w:lvlJc w:val="left"/>
      <w:lvlText w:val="(%1)"/>
      <w:numFmt w:val="lowerRoman"/>
      <w:start w:val="8"/>
    </w:lvl>
  </w:abstractNum>
  <w:abstractNum w:abstractNumId="24">
    <w:nsid w:val="153EA438"/>
    <w:multiLevelType w:val="hybridMultilevel"/>
    <w:lvl w:ilvl="0">
      <w:lvlJc w:val="left"/>
      <w:lvlText w:val="(%1)"/>
      <w:numFmt w:val="lowerRoman"/>
      <w:start w:val="10"/>
    </w:lvl>
  </w:abstractNum>
  <w:abstractNum w:abstractNumId="25">
    <w:nsid w:val="3855585C"/>
    <w:multiLevelType w:val="hybridMultilevel"/>
    <w:lvl w:ilvl="0">
      <w:lvlJc w:val="left"/>
      <w:lvlText w:val="(%1)"/>
      <w:numFmt w:val="lowerLetter"/>
      <w:start w:val="3"/>
    </w:lvl>
    <w:lvl w:ilvl="1">
      <w:lvlJc w:val="left"/>
      <w:lvlText w:val="(%2)"/>
      <w:numFmt w:val="lowerLetter"/>
      <w:start w:val="9"/>
    </w:lvl>
  </w:abstractNum>
  <w:abstractNum w:abstractNumId="26">
    <w:nsid w:val="70A64E2A"/>
    <w:multiLevelType w:val="hybridMultilevel"/>
    <w:lvl w:ilvl="0">
      <w:lvlJc w:val="left"/>
      <w:lvlText w:val="(%1)"/>
      <w:numFmt w:val="lowerLetter"/>
      <w:start w:val="4"/>
    </w:lvl>
  </w:abstractNum>
  <w:abstractNum w:abstractNumId="27">
    <w:nsid w:val="6A2342EC"/>
    <w:multiLevelType w:val="hybridMultilevel"/>
    <w:lvl w:ilvl="0">
      <w:lvlJc w:val="left"/>
      <w:lvlText w:val="%1."/>
      <w:numFmt w:val="decimal"/>
      <w:start w:val="8"/>
    </w:lvl>
    <w:lvl w:ilvl="1">
      <w:lvlJc w:val="left"/>
      <w:lvlText w:val="(%2)"/>
      <w:numFmt w:val="lowerLetter"/>
      <w:start w:val="1"/>
    </w:lvl>
  </w:abstractNum>
  <w:abstractNum w:abstractNumId="28">
    <w:nsid w:val="2A487CB0"/>
    <w:multiLevelType w:val="hybridMultilevel"/>
    <w:lvl w:ilvl="0">
      <w:lvlJc w:val="left"/>
      <w:lvlText w:val="%1."/>
      <w:numFmt w:val="decimal"/>
      <w:start w:val="9"/>
    </w:lvl>
    <w:lvl w:ilvl="1">
      <w:lvlJc w:val="left"/>
      <w:lvlText w:val="(%2)"/>
      <w:numFmt w:val="lowerLetter"/>
      <w:start w:val="8"/>
    </w:lvl>
    <w:lvl w:ilvl="2">
      <w:lvlJc w:val="left"/>
      <w:lvlText w:val="(%3)"/>
      <w:numFmt w:val="lowerLetter"/>
      <w:start w:val="1"/>
    </w:lvl>
  </w:abstractNum>
  <w:abstractNum w:abstractNumId="29">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30">
    <w:nsid w:val="725A06FB"/>
    <w:multiLevelType w:val="hybridMultilevel"/>
    <w:lvl w:ilvl="0">
      <w:lvlJc w:val="left"/>
      <w:lvlText w:val="(%1)"/>
      <w:numFmt w:val="lowerLetter"/>
      <w:start w:val="7"/>
    </w:lvl>
  </w:abstractNum>
  <w:abstractNum w:abstractNumId="31">
    <w:nsid w:val="2CD89A32"/>
    <w:multiLevelType w:val="hybridMultilevel"/>
    <w:lvl w:ilvl="0">
      <w:lvlJc w:val="left"/>
      <w:lvlText w:val="(%1)"/>
      <w:numFmt w:val="lowerLetter"/>
      <w:start w:val="14"/>
    </w:lvl>
  </w:abstractNum>
  <w:abstractNum w:abstractNumId="32">
    <w:nsid w:val="57E4CCAF"/>
    <w:multiLevelType w:val="hybridMultilevel"/>
    <w:lvl w:ilvl="0">
      <w:lvlJc w:val="left"/>
      <w:lvlText w:val="%1."/>
      <w:numFmt w:val="decimal"/>
      <w:start w:val="10"/>
    </w:lvl>
  </w:abstractNum>
  <w:abstractNum w:abstractNumId="33">
    <w:nsid w:val="7A6D8D3C"/>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34">
    <w:nsid w:val="4B588F54"/>
    <w:multiLevelType w:val="hybridMultilevel"/>
    <w:lvl w:ilvl="0">
      <w:lvlJc w:val="left"/>
      <w:lvlText w:val="(%1)"/>
      <w:numFmt w:val="lowerRoman"/>
      <w:start w:val="2"/>
    </w:lvl>
  </w:abstractNum>
  <w:abstractNum w:abstractNumId="35">
    <w:nsid w:val="542289EC"/>
    <w:multiLevelType w:val="hybridMultilevel"/>
    <w:lvl w:ilvl="0">
      <w:lvlJc w:val="left"/>
      <w:lvlText w:val="(%1)"/>
      <w:numFmt w:val="lowerLetter"/>
      <w:start w:val="3"/>
    </w:lvl>
    <w:lvl w:ilvl="1">
      <w:lvlJc w:val="left"/>
      <w:lvlText w:val="(%2)"/>
      <w:numFmt w:val="lowerLetter"/>
      <w:start w:val="9"/>
    </w:lvl>
  </w:abstractNum>
  <w:abstractNum w:abstractNumId="36">
    <w:nsid w:val="6DE91B18"/>
    <w:multiLevelType w:val="hybridMultilevel"/>
    <w:lvl w:ilvl="0">
      <w:lvlJc w:val="left"/>
      <w:lvlText w:val="(%1)"/>
      <w:numFmt w:val="lowerLetter"/>
      <w:start w:val="4"/>
    </w:lvl>
    <w:lvl w:ilvl="1">
      <w:lvlJc w:val="left"/>
      <w:lvlText w:val="(%2)"/>
      <w:numFmt w:val="lowerRoman"/>
      <w:start w:val="1"/>
    </w:lvl>
  </w:abstractNum>
  <w:abstractNum w:abstractNumId="37">
    <w:nsid w:val="38437FDB"/>
    <w:multiLevelType w:val="hybridMultilevel"/>
    <w:lvl w:ilvl="0">
      <w:lvlJc w:val="left"/>
      <w:lvlText w:val="%1."/>
      <w:numFmt w:val="decimal"/>
      <w:start w:val="12"/>
    </w:lvl>
  </w:abstractNum>
  <w:abstractNum w:abstractNumId="38">
    <w:nsid w:val="7644A45C"/>
    <w:multiLevelType w:val="hybridMultilevel"/>
    <w:lvl w:ilvl="0">
      <w:lvlJc w:val="left"/>
      <w:lvlText w:val="%1."/>
      <w:numFmt w:val="decimal"/>
      <w:start w:val="13"/>
    </w:lvl>
  </w:abstractNum>
  <w:abstractNum w:abstractNumId="39">
    <w:nsid w:val="32FFF902"/>
    <w:multiLevelType w:val="hybridMultilevel"/>
    <w:lvl w:ilvl="0">
      <w:lvlJc w:val="left"/>
      <w:lvlText w:val="%1."/>
      <w:numFmt w:val="decimal"/>
      <w:start w:val="14"/>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7"/>
    </w:lvl>
    <w:lvl w:ilvl="1">
      <w:lvlJc w:val="left"/>
      <w:lvlText w:val="(%2)"/>
      <w:numFmt w:val="lowerLetter"/>
      <w:start w:val="9"/>
    </w:lvl>
  </w:abstractNum>
  <w:abstractNum w:abstractNumId="42">
    <w:nsid w:val="749ABB43"/>
    <w:multiLevelType w:val="hybridMultilevel"/>
    <w:lvl w:ilvl="0">
      <w:lvlJc w:val="left"/>
      <w:lvlText w:val="(%1)"/>
      <w:numFmt w:val="lowerRoman"/>
      <w:start w:val="2"/>
    </w:lvl>
  </w:abstractNum>
  <w:abstractNum w:abstractNumId="43">
    <w:nsid w:val="3DC240FB"/>
    <w:multiLevelType w:val="hybridMultilevel"/>
    <w:lvl w:ilvl="0">
      <w:lvlJc w:val="left"/>
      <w:lvlText w:val="(%1)"/>
      <w:numFmt w:val="lowerLetter"/>
      <w:start w:val="11"/>
    </w:lvl>
    <w:lvl w:ilvl="1">
      <w:lvlJc w:val="left"/>
      <w:lvlText w:val="(%2)"/>
      <w:numFmt w:val="lowerLetter"/>
      <w:start w:val="13"/>
    </w:lvl>
  </w:abstractNum>
  <w:abstractNum w:abstractNumId="44">
    <w:nsid w:val="1BA026FA"/>
    <w:multiLevelType w:val="hybridMultilevel"/>
    <w:lvl w:ilvl="0">
      <w:lvlJc w:val="left"/>
      <w:lvlText w:val="(%1)"/>
      <w:numFmt w:val="lowerLetter"/>
      <w:start w:val="16"/>
    </w:lvl>
  </w:abstractNum>
  <w:abstractNum w:abstractNumId="45">
    <w:nsid w:val="79A1DEAA"/>
    <w:multiLevelType w:val="hybridMultilevel"/>
    <w:lvl w:ilvl="0">
      <w:lvlJc w:val="left"/>
      <w:lvlText w:val="(%1)"/>
      <w:numFmt w:val="lowerLetter"/>
      <w:start w:val="17"/>
    </w:lvl>
    <w:lvl w:ilvl="1">
      <w:lvlJc w:val="left"/>
      <w:lvlText w:val="(%2)"/>
      <w:numFmt w:val="lowerRoman"/>
      <w:start w:val="1"/>
    </w:lvl>
  </w:abstractNum>
  <w:abstractNum w:abstractNumId="46">
    <w:nsid w:val="75C6C33A"/>
    <w:multiLevelType w:val="hybridMultilevel"/>
    <w:lvl w:ilvl="0">
      <w:lvlJc w:val="left"/>
      <w:lvlText w:val="%1"/>
      <w:numFmt w:val="lowerLetter"/>
      <w:start w:val="1"/>
    </w:lvl>
    <w:lvl w:ilvl="1">
      <w:lvlJc w:val="left"/>
      <w:lvlText w:val="(%2)"/>
      <w:numFmt w:val="lowerLetter"/>
      <w:start w:val="19"/>
    </w:lvl>
    <w:lvl w:ilvl="2">
      <w:lvlJc w:val="left"/>
      <w:lvlText w:val="%3"/>
      <w:numFmt w:val="lowerRoman"/>
      <w:start w:val="1"/>
    </w:lvl>
  </w:abstractNum>
  <w:abstractNum w:abstractNumId="47">
    <w:nsid w:val="12E685FB"/>
    <w:multiLevelType w:val="hybridMultilevel"/>
    <w:lvl w:ilvl="0">
      <w:lvlJc w:val="left"/>
      <w:lvlText w:val="(%1)"/>
      <w:numFmt w:val="lowerLetter"/>
      <w:start w:val="20"/>
    </w:lvl>
    <w:lvl w:ilvl="1">
      <w:lvlJc w:val="left"/>
      <w:lvlText w:val="%2"/>
      <w:numFmt w:val="lowerLetter"/>
      <w:start w:val="1"/>
    </w:lvl>
    <w:lvl w:ilvl="2">
      <w:lvlJc w:val="left"/>
      <w:lvlText w:val="(%3)"/>
      <w:numFmt w:val="lowerRoman"/>
      <w:start w:val="1"/>
    </w:lvl>
  </w:abstractNum>
  <w:abstractNum w:abstractNumId="48">
    <w:nsid w:val="70C6A529"/>
    <w:multiLevelType w:val="hybridMultilevel"/>
    <w:lvl w:ilvl="0">
      <w:lvlJc w:val="left"/>
      <w:lvlText w:val="%1"/>
      <w:numFmt w:val="lowerLetter"/>
      <w:start w:val="1"/>
    </w:lvl>
    <w:lvl w:ilvl="1">
      <w:lvlJc w:val="left"/>
      <w:lvlText w:val="(%2)"/>
      <w:numFmt w:val="lowerLetter"/>
      <w:start w:val="29"/>
    </w:lvl>
  </w:abstractNum>
  <w:abstractNum w:abstractNumId="49">
    <w:nsid w:val="520EEDD1"/>
    <w:multiLevelType w:val="hybridMultilevel"/>
    <w:lvl w:ilvl="0">
      <w:lvlJc w:val="left"/>
      <w:lvlText w:val="(%1)"/>
      <w:numFmt w:val="lowerLetter"/>
      <w:start w:val="36"/>
    </w:lvl>
    <w:lvl w:ilvl="1">
      <w:lvlJc w:val="left"/>
      <w:lvlText w:val="%2"/>
      <w:numFmt w:val="lowerLetter"/>
      <w:start w:val="1"/>
    </w:lvl>
  </w:abstractNum>
  <w:abstractNum w:abstractNumId="50">
    <w:nsid w:val="374A3FE6"/>
    <w:multiLevelType w:val="hybridMultilevel"/>
    <w:lvl w:ilvl="0">
      <w:lvlJc w:val="left"/>
      <w:lvlText w:val="(%1)"/>
      <w:numFmt w:val="lowerLetter"/>
      <w:start w:val="37"/>
    </w:lvl>
  </w:abstractNum>
  <w:abstractNum w:abstractNumId="51">
    <w:nsid w:val="4F4EF005"/>
    <w:multiLevelType w:val="hybridMultilevel"/>
    <w:lvl w:ilvl="0">
      <w:lvlJc w:val="left"/>
      <w:lvlText w:val="%1"/>
      <w:numFmt w:val="decimal"/>
      <w:start w:val="1"/>
    </w:lvl>
    <w:lvl w:ilvl="1">
      <w:lvlJc w:val="left"/>
      <w:lvlText w:val="(%2)"/>
      <w:numFmt w:val="lowerLetter"/>
      <w:start w:val="49"/>
    </w:lvl>
  </w:abstractNum>
  <w:abstractNum w:abstractNumId="52">
    <w:nsid w:val="23F9C13C"/>
    <w:multiLevelType w:val="hybridMultilevel"/>
    <w:lvl w:ilvl="0">
      <w:lvlJc w:val="left"/>
      <w:lvlText w:val="(%1)"/>
      <w:numFmt w:val="decimal"/>
      <w:start w:val="3"/>
    </w:lvl>
    <w:lvl w:ilvl="1">
      <w:lvlJc w:val="left"/>
      <w:lvlText w:val="%2"/>
      <w:numFmt w:val="lowerLetter"/>
      <w:start w:val="1"/>
    </w:lvl>
  </w:abstractNum>
  <w:abstractNum w:abstractNumId="53">
    <w:nsid w:val="649BB77C"/>
    <w:multiLevelType w:val="hybridMultilevel"/>
    <w:lvl w:ilvl="0">
      <w:lvlJc w:val="left"/>
      <w:lvlText w:val="%1"/>
      <w:numFmt w:val="lowerRoman"/>
      <w:start w:val="1"/>
    </w:lvl>
    <w:lvl w:ilvl="1">
      <w:lvlJc w:val="left"/>
      <w:lvlText w:val="(%2)"/>
      <w:numFmt w:val="lowerLetter"/>
      <w:start w:val="51"/>
    </w:lvl>
    <w:lvl w:ilvl="2">
      <w:lvlJc w:val="left"/>
      <w:lvlText w:val="%3"/>
      <w:numFmt w:val="lowerLetter"/>
      <w:start w:val="1"/>
    </w:lvl>
    <w:lvl w:ilvl="3">
      <w:lvlJc w:val="left"/>
      <w:lvlText w:val="(%4)"/>
      <w:numFmt w:val="lowerLetter"/>
      <w:start w:val="55"/>
    </w:lvl>
  </w:abstractNum>
  <w:abstractNum w:abstractNumId="54">
    <w:nsid w:val="275AC794"/>
    <w:multiLevelType w:val="hybridMultilevel"/>
    <w:lvl w:ilvl="0">
      <w:lvlJc w:val="left"/>
      <w:lvlText w:val="(%1)"/>
      <w:numFmt w:val="lowerRoman"/>
      <w:start w:val="4"/>
    </w:lvl>
    <w:lvl w:ilvl="1">
      <w:lvlJc w:val="left"/>
      <w:lvlText w:val="(%2)"/>
      <w:numFmt w:val="lowerLetter"/>
      <w:start w:val="56"/>
    </w:lvl>
    <w:lvl w:ilvl="2">
      <w:lvlJc w:val="left"/>
      <w:lvlText w:val="%3"/>
      <w:numFmt w:val="lowerLetter"/>
      <w:start w:val="1"/>
    </w:lvl>
    <w:lvl w:ilvl="3">
      <w:lvlJc w:val="left"/>
      <w:lvlText w:val="%4"/>
      <w:numFmt w:val="lowerLetter"/>
      <w:start w:val="1"/>
    </w:lvl>
  </w:abstractNum>
  <w:abstractNum w:abstractNumId="55">
    <w:nsid w:val="39386575"/>
    <w:multiLevelType w:val="hybridMultilevel"/>
    <w:lvl w:ilvl="0">
      <w:lvlJc w:val="left"/>
      <w:lvlText w:val="(%1)"/>
      <w:numFmt w:val="lowerLetter"/>
      <w:start w:val="62"/>
    </w:lvl>
  </w:abstractNum>
  <w:abstractNum w:abstractNumId="56">
    <w:nsid w:val="1CF10FD8"/>
    <w:multiLevelType w:val="hybridMultilevel"/>
    <w:lvl w:ilvl="0">
      <w:lvlJc w:val="left"/>
      <w:lvlText w:val="(%1)"/>
      <w:numFmt w:val="lowerLetter"/>
      <w:start w:val="7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2026-06-17T16:29:34Z</dcterms:created>
  <dcterms:modified xsi:type="dcterms:W3CDTF">2026-06-17T16:29:34Z</dcterms:modified>
</cp:coreProperties>
</file>