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07"/>
        <w:gridCol w:w="1523"/>
        <w:gridCol w:w="3052"/>
        <w:gridCol w:w="2523"/>
      </w:tblGrid>
      <w:tr>
        <w:trPr/>
        <w:tc>
          <w:tcPr>
            <w:tcW w:w="3107"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87"/>
            </w:tblGrid>
            <w:tr>
              <w:trPr/>
              <w:tc>
                <w:tcPr>
                  <w:tcW w:w="2987" w:type="dxa"/>
                  <w:tcBorders/>
                  <w:vAlign w:val="center"/>
                </w:tcPr>
                <w:p>
                  <w:pPr>
                    <w:pStyle w:val="TableContents"/>
                    <w:bidi w:val="0"/>
                    <w:spacing w:before="0" w:after="283"/>
                    <w:jc w:val="left"/>
                    <w:rPr/>
                  </w:pPr>
                  <w:hyperlink r:id="rId2">
                    <w:r>
                      <w:rPr>
                        <w:rStyle w:val="InternetLink"/>
                      </w:rPr>
                      <w:t>Levin Michaela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87"/>
            </w:tblGrid>
            <w:tr>
              <w:trPr/>
              <w:tc>
                <w:tcPr>
                  <w:tcW w:w="298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ACRIVON THERAPEUTICS, INC.</w:t>
                  </w:r>
                </w:p>
              </w:tc>
            </w:tr>
            <w:tr>
              <w:trPr/>
              <w:tc>
                <w:tcPr>
                  <w:tcW w:w="298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 ARSENAL WAY,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9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08/31/2026</w:t>
            </w:r>
          </w:p>
        </w:tc>
        <w:tc>
          <w:tcPr>
            <w:tcW w:w="5575"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Acrivon Therapeutics, Inc.</w:t>
              </w:r>
            </w:hyperlink>
            <w:r>
              <w:rPr/>
              <w:t xml:space="preserve"> [ </w:t>
            </w:r>
            <w:r>
              <w:rPr>
                <w:rFonts w:ascii="Times;serif" w:hAnsi="Times;serif"/>
                <w:color w:val="0000FF"/>
                <w:sz w:val="24"/>
                <w:shd w:fill="FFFFFF" w:val="clear"/>
              </w:rPr>
              <w:t>ACRV</w:t>
            </w:r>
            <w:r>
              <w:rPr/>
              <w:t xml:space="preserve"> ] </w:t>
              <w:br/>
            </w:r>
            <w:r>
              <w:rPr>
                <w:rFonts w:ascii="arial;helvetica;sans-serif" w:hAnsi="arial;helvetica;sans-serif"/>
                <w:sz w:val="20"/>
              </w:rPr>
              <w:t>Foreign Trading Symbol</w:t>
            </w:r>
          </w:p>
        </w:tc>
      </w:tr>
      <w:tr>
        <w:trPr/>
        <w:tc>
          <w:tcPr>
            <w:tcW w:w="31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9"/>
              <w:gridCol w:w="1027"/>
              <w:gridCol w:w="439"/>
              <w:gridCol w:w="1027"/>
            </w:tblGrid>
            <w:tr>
              <w:trPr/>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c>
          <w:tcPr>
            <w:tcW w:w="2523"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07"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3"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2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4"/>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D. Levy,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rFonts w:ascii="Times New Roman" w:hAnsi="Times New Roman"/>
          <w:b/>
          <w:color w:val="000000"/>
          <w:sz w:val="20"/>
        </w:rPr>
      </w:pPr>
      <w:bookmarkStart w:id="2" w:name="ef20047675_poa.htm"/>
      <w:bookmarkStart w:id="3" w:name="ksef20047675_poa"/>
      <w:bookmarkEnd w:id="2"/>
      <w:bookmarkEnd w:id="3"/>
      <w:r>
        <w:rPr>
          <w:rFonts w:ascii="Times New Roman" w:hAnsi="Times New Roman"/>
          <w:b/>
          <w:color w:val="000000"/>
          <w:sz w:val="20"/>
        </w:rPr>
        <w:t>POWER OF ATTORNEY</w:t>
      </w:r>
      <w:r>
        <w:br w:type="page"/>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 Executing Form ID, Forms 3, 4 and 5, and Form 144)</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Peter Blume-Jensen, Adam Levy, Eric Devroe, Mary-Alice Miller, and Katharine Peterson of Acrivon Therapeutics, Inc. (the “</w:t>
      </w:r>
      <w:r>
        <w:rPr>
          <w:rFonts w:ascii="Times New Roman" w:hAnsi="Times New Roman"/>
          <w:b/>
          <w:i/>
          <w:color w:val="000000"/>
          <w:sz w:val="20"/>
        </w:rPr>
        <w:t>Company”</w:t>
      </w:r>
      <w:r>
        <w:rPr>
          <w:rFonts w:ascii="Times New Roman" w:hAnsi="Times New Roman"/>
          <w:color w:val="000000"/>
          <w:sz w:val="20"/>
        </w:rPr>
        <w:t>), signing individually, the undersigned's true and lawful attorneys-in-fact and agents to:</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a63df522bc2547628dea3ea48d85be10"/>
      <w:bookmarkStart w:id="5" w:name="za63df522bc2547628dea3ea48d85be10"/>
      <w:bookmarkEnd w:id="5"/>
    </w:p>
    <w:tbl>
      <w:tblPr>
        <w:tblW w:w="10205" w:type="dxa"/>
        <w:jc w:val="left"/>
        <w:tblInd w:w="0" w:type="dxa"/>
        <w:tblLayout w:type="fixed"/>
        <w:tblCellMar>
          <w:top w:w="0" w:type="dxa"/>
          <w:left w:w="0" w:type="dxa"/>
          <w:bottom w:w="0" w:type="dxa"/>
          <w:right w:w="0" w:type="dxa"/>
        </w:tblCellMar>
      </w:tblPr>
      <w:tblGrid>
        <w:gridCol w:w="68"/>
        <w:gridCol w:w="257"/>
        <w:gridCol w:w="9880"/>
      </w:tblGrid>
      <w:tr>
        <w:trPr/>
        <w:tc>
          <w:tcPr>
            <w:tcW w:w="68" w:type="dxa"/>
            <w:tcBorders/>
            <w:vAlign w:val="center"/>
          </w:tcPr>
          <w:p>
            <w:pPr>
              <w:pStyle w:val="TableContents"/>
              <w:bidi w:val="0"/>
              <w:spacing w:before="0" w:after="283"/>
              <w:jc w:val="left"/>
              <w:rPr/>
            </w:pPr>
            <w:r>
              <w:rPr/>
            </w:r>
          </w:p>
        </w:tc>
        <w:tc>
          <w:tcPr>
            <w:tcW w:w="257" w:type="dxa"/>
            <w:tcBorders/>
            <w:vAlign w:val="center"/>
          </w:tcPr>
          <w:p>
            <w:pPr>
              <w:pStyle w:val="TableContents"/>
              <w:bidi w:val="0"/>
              <w:spacing w:before="0" w:after="283"/>
              <w:jc w:val="left"/>
              <w:rPr>
                <w:color w:val="1F1F1F"/>
              </w:rPr>
            </w:pPr>
            <w:r>
              <w:rPr>
                <w:color w:val="1F1F1F"/>
              </w:rPr>
              <w:t>(1)</w:t>
            </w:r>
          </w:p>
        </w:tc>
        <w:tc>
          <w:tcPr>
            <w:tcW w:w="9880" w:type="dxa"/>
            <w:tcBorders/>
            <w:vAlign w:val="center"/>
          </w:tcPr>
          <w:p>
            <w:pPr>
              <w:pStyle w:val="TableContents"/>
              <w:bidi w:val="0"/>
              <w:spacing w:before="0" w:after="0"/>
              <w:jc w:val="left"/>
              <w:rPr>
                <w:color w:val="1F1F1F"/>
              </w:rPr>
            </w:pPr>
            <w:r>
              <w:rPr>
                <w:color w:val="1F1F1F"/>
              </w:rPr>
              <w:t>Prepare, execute in the undersigned's name and on the undersigned's behalf, and submit to the U.S. Securities and Exchange Commission (the “</w:t>
            </w:r>
            <w:r>
              <w:rPr>
                <w:b/>
                <w:i/>
                <w:color w:val="1F1F1F"/>
              </w:rPr>
              <w:t>SEC”</w:t>
            </w:r>
            <w:r>
              <w:rPr>
                <w:color w:val="1F1F1F"/>
              </w:rPr>
              <w:t>) a Form ID, including amendments thereto, and any other documents necessary or appropriate to obtain codes and passwords enabling the undersigned to make electronic filings with the SEC of reports required by Section 16 of the Securities Exchange Act of 1934, as amended (the “</w:t>
            </w:r>
            <w:r>
              <w:rPr>
                <w:b/>
                <w:i/>
                <w:color w:val="1F1F1F"/>
              </w:rPr>
              <w:t>Exchange Act”</w:t>
            </w:r>
            <w:r>
              <w:rPr>
                <w:color w:val="1F1F1F"/>
              </w:rPr>
              <w:t>), Rule 144 under the Securities Act of 1933 (“</w:t>
            </w:r>
            <w:r>
              <w:rPr>
                <w:b/>
                <w:i/>
                <w:color w:val="1F1F1F"/>
              </w:rPr>
              <w:t>Rule 144”</w:t>
            </w:r>
            <w:r>
              <w:rPr>
                <w:color w:val="1F1F1F"/>
              </w:rPr>
              <w:t>), or any rule or regulation of the SEC;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3be14cea89614f08a558b8230a251c8d"/>
      <w:bookmarkStart w:id="7" w:name="z3be14cea89614f08a558b8230a251c8d"/>
      <w:bookmarkEnd w:id="7"/>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color w:val="1F1F1F"/>
              </w:rPr>
            </w:pPr>
            <w:r>
              <w:rPr>
                <w:color w:val="1F1F1F"/>
              </w:rPr>
              <w:t>(2)</w:t>
            </w:r>
          </w:p>
        </w:tc>
        <w:tc>
          <w:tcPr>
            <w:tcW w:w="9877" w:type="dxa"/>
            <w:tcBorders/>
            <w:vAlign w:val="center"/>
          </w:tcPr>
          <w:p>
            <w:pPr>
              <w:pStyle w:val="TableContents"/>
              <w:bidi w:val="0"/>
              <w:spacing w:before="0" w:after="0"/>
              <w:jc w:val="left"/>
              <w:rPr/>
            </w:pPr>
            <w:r>
              <w:rPr>
                <w:color w:val="1F1F1F"/>
              </w:rPr>
              <w:t>Execute for and on behalf of the undersigned, in the undersigned’s capacity as an officer, director, or beneficial owner of more than 10% of a registered class of securities of the Company,</w:t>
            </w:r>
            <w:r>
              <w:rPr/>
              <w:t> </w:t>
            </w:r>
            <w:r>
              <w:rPr>
                <w:color w:val="1F1F1F"/>
              </w:rPr>
              <w:t>any and all reports on Form 3, 4, or 5 in accordance with Section 16(a) of the Exchange Act and the rules thereunder, and on Form 144 in accordance with Rule 144 (including amendments thereto and joint filing agreements in connection therewith);</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831445da53004f75b22d836518900294"/>
      <w:bookmarkStart w:id="9" w:name="z831445da53004f75b22d836518900294"/>
      <w:bookmarkEnd w:id="9"/>
    </w:p>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pPr>
            <w:r>
              <w:rPr/>
            </w:r>
          </w:p>
        </w:tc>
        <w:tc>
          <w:tcPr>
            <w:tcW w:w="264" w:type="dxa"/>
            <w:tcBorders/>
            <w:vAlign w:val="center"/>
          </w:tcPr>
          <w:p>
            <w:pPr>
              <w:pStyle w:val="TableContents"/>
              <w:bidi w:val="0"/>
              <w:spacing w:before="0" w:after="283"/>
              <w:jc w:val="left"/>
              <w:rPr/>
            </w:pPr>
            <w:r>
              <w:rPr/>
              <w:t>(3)</w:t>
            </w:r>
          </w:p>
        </w:tc>
        <w:tc>
          <w:tcPr>
            <w:tcW w:w="9873" w:type="dxa"/>
            <w:tcBorders/>
            <w:vAlign w:val="center"/>
          </w:tcPr>
          <w:p>
            <w:pPr>
              <w:pStyle w:val="TableContents"/>
              <w:bidi w:val="0"/>
              <w:spacing w:before="0" w:after="0"/>
              <w:jc w:val="left"/>
              <w:rPr>
                <w:color w:val="1F1F1F"/>
              </w:rPr>
            </w:pPr>
            <w:r>
              <w:rPr>
                <w:color w:val="1F1F1F"/>
              </w:rPr>
              <w:t>Do and perform any and all acts for and on behalf of the undersigned that may be necessary or desirable to prepare and execute any such Forms 3, 4, or 5, or Form 144 (including amendments thereto and joint filing agreements in connection therewith) and timely file such forms with the SEC and any stock exchange, self-regulatory association, or similar authority;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5b63122d6e7c4af89388c6e80d3f34de"/>
      <w:bookmarkStart w:id="11" w:name="z5b63122d6e7c4af89388c6e80d3f34de"/>
      <w:bookmarkEnd w:id="11"/>
    </w:p>
    <w:tbl>
      <w:tblPr>
        <w:tblW w:w="10205" w:type="dxa"/>
        <w:jc w:val="left"/>
        <w:tblInd w:w="0" w:type="dxa"/>
        <w:tblLayout w:type="fixed"/>
        <w:tblCellMar>
          <w:top w:w="0" w:type="dxa"/>
          <w:left w:w="0" w:type="dxa"/>
          <w:bottom w:w="0" w:type="dxa"/>
          <w:right w:w="0" w:type="dxa"/>
        </w:tblCellMar>
      </w:tblPr>
      <w:tblGrid>
        <w:gridCol w:w="68"/>
        <w:gridCol w:w="277"/>
        <w:gridCol w:w="9860"/>
      </w:tblGrid>
      <w:tr>
        <w:trPr/>
        <w:tc>
          <w:tcPr>
            <w:tcW w:w="68" w:type="dxa"/>
            <w:tcBorders/>
            <w:vAlign w:val="center"/>
          </w:tcPr>
          <w:p>
            <w:pPr>
              <w:pStyle w:val="TableContents"/>
              <w:bidi w:val="0"/>
              <w:spacing w:before="0" w:after="283"/>
              <w:jc w:val="left"/>
              <w:rPr/>
            </w:pPr>
            <w:r>
              <w:rPr/>
            </w:r>
          </w:p>
        </w:tc>
        <w:tc>
          <w:tcPr>
            <w:tcW w:w="277" w:type="dxa"/>
            <w:tcBorders/>
            <w:vAlign w:val="center"/>
          </w:tcPr>
          <w:p>
            <w:pPr>
              <w:pStyle w:val="TableContents"/>
              <w:bidi w:val="0"/>
              <w:spacing w:before="0" w:after="283"/>
              <w:jc w:val="left"/>
              <w:rPr/>
            </w:pPr>
            <w:r>
              <w:rPr/>
              <w:t>(4)</w:t>
            </w:r>
          </w:p>
        </w:tc>
        <w:tc>
          <w:tcPr>
            <w:tcW w:w="9860" w:type="dxa"/>
            <w:tcBorders/>
            <w:vAlign w:val="center"/>
          </w:tcPr>
          <w:p>
            <w:pPr>
              <w:pStyle w:val="TableContents"/>
              <w:bidi w:val="0"/>
              <w:spacing w:before="0" w:after="0"/>
              <w:jc w:val="left"/>
              <w:rPr/>
            </w:pPr>
            <w:r>
              <w:rPr/>
              <w:t>Enroll the undersigned in the SEC’s enhanced Electronic Data Gathering, Analysis, and Retrieval system (“EDGAR Next”), and serve as an Account Administrator for the undersigned’s account in EDGAR Next;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94158a04cf794bc5878c3e3596c730a1"/>
      <w:bookmarkStart w:id="13" w:name="z94158a04cf794bc5878c3e3596c730a1"/>
      <w:bookmarkEnd w:id="13"/>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(5)</w:t>
            </w:r>
          </w:p>
        </w:tc>
        <w:tc>
          <w:tcPr>
            <w:tcW w:w="9878" w:type="dxa"/>
            <w:tcBorders/>
            <w:vAlign w:val="center"/>
          </w:tcPr>
          <w:p>
            <w:pPr>
              <w:pStyle w:val="TableContents"/>
              <w:bidi w:val="0"/>
              <w:spacing w:before="0" w:after="0"/>
              <w:jc w:val="left"/>
              <w:rPr>
                <w:color w:val="1F1F1F"/>
              </w:rPr>
            </w:pPr>
            <w:r>
              <w:rPr>
                <w:color w:val="1F1F1F"/>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1F1F1F"/>
          <w:sz w:val="20"/>
        </w:rPr>
      </w:pPr>
      <w:r>
        <w:rPr>
          <w:rFonts w:ascii="Times New Roman" w:hAnsi="Times New Roman"/>
          <w:color w:val="1F1F1F"/>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 or Rule 144.</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1F1F1F"/>
          <w:sz w:val="20"/>
        </w:rPr>
      </w:pPr>
      <w:r>
        <w:rPr>
          <w:rFonts w:ascii="Times New Roman" w:hAnsi="Times New Roman"/>
          <w:color w:val="1F1F1F"/>
          <w:sz w:val="20"/>
        </w:rPr>
        <w:t>This Power of Attorney shall remain in full force and effect until the earliest to occur of (a) the undersigned is no longer required to file reports under Section 16(a) of the Exchange Act or Rule 144 with respect to the undersigned’s holdings of and transactions in securities issued by the Company, (b) revocation by the undersigned in a signed writing delivered to the Company and the foregoing attorneys-in-fact, (c) as to any attorney-in-fact individually, until such attorney-in-fact is no longer employed by the Company, and (d) this Power of Attorney is superseded by a new power of attorney regarding the purposes outlined herein at a later date.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1F1F1F"/>
          <w:sz w:val="20"/>
        </w:rPr>
      </w:pPr>
      <w:r>
        <w:rPr>
          <w:rFonts w:ascii="Times New Roman" w:hAnsi="Times New Roman"/>
          <w:color w:val="1F1F1F"/>
          <w:sz w:val="20"/>
        </w:rPr>
        <w:t>IN WITNESS WHEREOF, the undersigned has caused this Power of Attorney to be executed as of the date written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89f4ba75f7c34b73adc405eaeb31ad04"/>
      <w:bookmarkStart w:id="15" w:name="z89f4ba75f7c34b73adc405eaeb31ad04"/>
      <w:bookmarkEnd w:id="15"/>
    </w:p>
    <w:tbl>
      <w:tblPr>
        <w:tblW w:w="4368" w:type="dxa"/>
        <w:jc w:val="left"/>
        <w:tblInd w:w="0" w:type="dxa"/>
        <w:tblLayout w:type="fixed"/>
        <w:tblCellMar>
          <w:top w:w="0" w:type="dxa"/>
          <w:left w:w="0" w:type="dxa"/>
          <w:bottom w:w="0" w:type="dxa"/>
          <w:right w:w="0" w:type="dxa"/>
        </w:tblCellMar>
      </w:tblPr>
      <w:tblGrid>
        <w:gridCol w:w="90"/>
        <w:gridCol w:w="2390"/>
        <w:gridCol w:w="1805"/>
        <w:gridCol w:w="83"/>
      </w:tblGrid>
      <w:tr>
        <w:trPr/>
        <w:tc>
          <w:tcPr>
            <w:tcW w:w="9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color w:val="1F1F1F"/>
              </w:rPr>
            </w:pPr>
            <w:r>
              <w:rPr>
                <w:color w:val="1F1F1F"/>
              </w:rPr>
              <w:t>Date:    August 12, 2026</w:t>
            </w:r>
          </w:p>
        </w:tc>
        <w:tc>
          <w:tcPr>
            <w:tcW w:w="1805" w:type="dxa"/>
            <w:tcBorders/>
            <w:vAlign w:val="center"/>
          </w:tcPr>
          <w:p>
            <w:pPr>
              <w:pStyle w:val="TableContents"/>
              <w:bidi w:val="0"/>
              <w:spacing w:before="0" w:after="283"/>
              <w:jc w:val="left"/>
              <w:rPr/>
            </w:pPr>
            <w:r>
              <w:rPr/>
            </w:r>
          </w:p>
        </w:tc>
        <w:tc>
          <w:tcPr>
            <w:tcW w:w="83"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r>
          </w:p>
        </w:tc>
        <w:tc>
          <w:tcPr>
            <w:tcW w:w="1805" w:type="dxa"/>
            <w:tcBorders/>
            <w:vAlign w:val="center"/>
          </w:tcPr>
          <w:p>
            <w:pPr>
              <w:pStyle w:val="TableContents"/>
              <w:bidi w:val="0"/>
              <w:spacing w:before="0" w:after="283"/>
              <w:jc w:val="left"/>
              <w:rPr/>
            </w:pPr>
            <w:r>
              <w:rPr/>
            </w:r>
          </w:p>
        </w:tc>
        <w:tc>
          <w:tcPr>
            <w:tcW w:w="83"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r>
          </w:p>
        </w:tc>
        <w:tc>
          <w:tcPr>
            <w:tcW w:w="1805" w:type="dxa"/>
            <w:tcBorders>
              <w:bottom w:val="single" w:sz="12" w:space="0" w:color="000000"/>
            </w:tcBorders>
            <w:tcMar>
              <w:bottom w:w="28" w:type="dxa"/>
            </w:tcMar>
            <w:vAlign w:val="center"/>
          </w:tcPr>
          <w:p>
            <w:pPr>
              <w:pStyle w:val="TableContents"/>
              <w:bidi w:val="0"/>
              <w:spacing w:before="0" w:after="0"/>
              <w:jc w:val="center"/>
              <w:rPr>
                <w:color w:val="1F1F1F"/>
              </w:rPr>
            </w:pPr>
            <w:r>
              <w:rPr>
                <w:color w:val="1F1F1F"/>
              </w:rPr>
              <w:t>/s/ Michaela Levin</w:t>
            </w:r>
          </w:p>
        </w:tc>
        <w:tc>
          <w:tcPr>
            <w:tcW w:w="83"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r>
          </w:p>
        </w:tc>
        <w:tc>
          <w:tcPr>
            <w:tcW w:w="1805" w:type="dxa"/>
            <w:tcBorders/>
            <w:vAlign w:val="center"/>
          </w:tcPr>
          <w:p>
            <w:pPr>
              <w:pStyle w:val="TableContents"/>
              <w:bidi w:val="0"/>
              <w:spacing w:before="0" w:after="283"/>
              <w:jc w:val="center"/>
              <w:rPr/>
            </w:pPr>
            <w:r>
              <w:rPr/>
              <w:t>Signature</w:t>
            </w:r>
          </w:p>
        </w:tc>
        <w:tc>
          <w:tcPr>
            <w:tcW w:w="83"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r>
          </w:p>
        </w:tc>
        <w:tc>
          <w:tcPr>
            <w:tcW w:w="1805" w:type="dxa"/>
            <w:tcBorders/>
            <w:vAlign w:val="center"/>
          </w:tcPr>
          <w:p>
            <w:pPr>
              <w:pStyle w:val="TableContents"/>
              <w:bidi w:val="0"/>
              <w:spacing w:before="0" w:after="283"/>
              <w:jc w:val="left"/>
              <w:rPr/>
            </w:pPr>
            <w:r>
              <w:rPr/>
            </w:r>
          </w:p>
        </w:tc>
        <w:tc>
          <w:tcPr>
            <w:tcW w:w="83"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r>
          </w:p>
        </w:tc>
        <w:tc>
          <w:tcPr>
            <w:tcW w:w="1805" w:type="dxa"/>
            <w:tcBorders>
              <w:bottom w:val="single" w:sz="12" w:space="0" w:color="000000"/>
            </w:tcBorders>
            <w:tcMar>
              <w:bottom w:w="28" w:type="dxa"/>
            </w:tcMar>
            <w:vAlign w:val="center"/>
          </w:tcPr>
          <w:p>
            <w:pPr>
              <w:pStyle w:val="TableContents"/>
              <w:bidi w:val="0"/>
              <w:spacing w:before="0" w:after="0"/>
              <w:jc w:val="center"/>
              <w:rPr>
                <w:color w:val="1F1F1F"/>
              </w:rPr>
            </w:pPr>
            <w:r>
              <w:rPr>
                <w:color w:val="1F1F1F"/>
              </w:rPr>
              <w:t>Michaela Levin</w:t>
            </w:r>
          </w:p>
        </w:tc>
        <w:tc>
          <w:tcPr>
            <w:tcW w:w="83"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r>
          </w:p>
        </w:tc>
        <w:tc>
          <w:tcPr>
            <w:tcW w:w="1805" w:type="dxa"/>
            <w:tcBorders/>
            <w:vAlign w:val="center"/>
          </w:tcPr>
          <w:p>
            <w:pPr>
              <w:pStyle w:val="TableContents"/>
              <w:bidi w:val="0"/>
              <w:spacing w:before="0" w:after="283"/>
              <w:jc w:val="center"/>
              <w:rPr/>
            </w:pPr>
            <w:r>
              <w:rPr/>
              <w:t> </w:t>
            </w:r>
            <w:r>
              <w:rPr/>
              <w:t>Print Name</w:t>
            </w:r>
          </w:p>
        </w:tc>
        <w:tc>
          <w:tcPr>
            <w:tcW w:w="8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1012" TargetMode="External"/><Relationship Id="rId3" Type="http://schemas.openxmlformats.org/officeDocument/2006/relationships/hyperlink" Target="http://www.sec.gov/cgi-bin/browse-edgar?action=getcompany&amp;CIK=000178117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1083</Words>
  <Characters>5791</Characters>
  <CharactersWithSpaces>6825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