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Blume-Jensen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ACRIVON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 ARSENAL WAY,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Acrivon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ACRV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09"/>
        <w:gridCol w:w="901"/>
        <w:gridCol w:w="772"/>
        <w:gridCol w:w="598"/>
        <w:gridCol w:w="339"/>
        <w:gridCol w:w="905"/>
        <w:gridCol w:w="428"/>
        <w:gridCol w:w="878"/>
        <w:gridCol w:w="1244"/>
        <w:gridCol w:w="964"/>
        <w:gridCol w:w="106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14,036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2.2064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2,230,052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385,859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Blume-Jensen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ACRIVON THERAPEUTICS, INC.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 ARSENAL WAY,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0">
                    <w:r>
                      <w:rPr>
                        <w:rStyle w:val="InternetLink"/>
                      </w:rPr>
                      <w:t>Masson Kristina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ACRIVON THERAPEUTICS, INC.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 ARSENAL WAY,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automatically to satisfy the mandatory tax withholding requirement upon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above reflects the weighted average sale price. This transaction was executed in multiple trades at prices ranging from $2.17 to $2.25,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footnote 2 of this Form 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securities are held by President and CEO, Dr. Peter Blume-Jensen, who is also Dr. Kristina Masson's spouse. Dr. Masson disclaims beneficial ownership of such securities except to the extent of her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securities are held by co-founder and EVP, Dr. Kristina Masson, who is also Dr. Blume-Jensen's spouse. Dr. Blume-Jensen disclaims beneficial ownership of such securities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Adam D. Levy, Attorney-in-Fact for Peter Blume-Jensen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Adam D. Levy, Attorney-in-Fact for Kristina Masson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0499" TargetMode="External"/><Relationship Id="rId5" Type="http://schemas.openxmlformats.org/officeDocument/2006/relationships/hyperlink" Target="http://www.sec.gov/cgi-bin/browse-edgar?action=getcompany&amp;CIK=00017811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hyperlink" Target="http://www.sec.gov/cgi-bin/browse-edgar?action=getcompany&amp;CIK=0001950499" TargetMode="External"/><Relationship Id="rId10" Type="http://schemas.openxmlformats.org/officeDocument/2006/relationships/hyperlink" Target="http://www.sec.gov/cgi-bin/browse-edgar?action=getcompany&amp;CIK=0001950501" TargetMode="Externa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808</Words>
  <Characters>4452</Characters>
  <CharactersWithSpaces>5155</CharactersWithSpaces>
  <Paragraphs>134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