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Blume-Jensen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Acrivon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0"/>
        <w:gridCol w:w="904"/>
        <w:gridCol w:w="774"/>
        <w:gridCol w:w="600"/>
        <w:gridCol w:w="346"/>
        <w:gridCol w:w="837"/>
        <w:gridCol w:w="447"/>
        <w:gridCol w:w="664"/>
        <w:gridCol w:w="1271"/>
        <w:gridCol w:w="989"/>
        <w:gridCol w:w="107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2.01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2,244,088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2.01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385,859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Blume-Jensen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0">
                    <w:r>
                      <w:rPr>
                        <w:rStyle w:val="InternetLink"/>
                      </w:rPr>
                      <w:t>Masson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automatically to satisfy the mandatory tax withholding requirement upon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securities are held by President and CEO, Dr. Peter Blume-Jensen, who is also Dr. Kristina Masson's spouse. Dr. Masson disclaims beneficial ownership of such securities except to the extent of her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securities are held by co-founder and EVP, Dr. Kristina Masson, who is also Dr. Blume-Jensen's spouse. Dr. Blume-Jensen disclaims beneficial ownership of such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D. Levy, Attorney-in-Fact for Peter Blume-Jensen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D. Levy, Attorney-in-Fact for Kristina Masson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0499" TargetMode="External"/><Relationship Id="rId5" Type="http://schemas.openxmlformats.org/officeDocument/2006/relationships/hyperlink" Target="http://www.sec.gov/cgi-bin/browse-edgar?action=getcompany&amp;CIK=00017811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hyperlink" Target="http://www.sec.gov/cgi-bin/browse-edgar?action=getcompany&amp;CIK=0001950499" TargetMode="External"/><Relationship Id="rId10" Type="http://schemas.openxmlformats.org/officeDocument/2006/relationships/hyperlink" Target="http://www.sec.gov/cgi-bin/browse-edgar?action=getcompany&amp;CIK=0001950501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735</Words>
  <Characters>4070</Characters>
  <CharactersWithSpaces>4696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